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D42" w:rsidRPr="009065A7" w:rsidRDefault="00DA2D42" w:rsidP="004B626C">
      <w:pPr>
        <w:spacing w:line="276" w:lineRule="auto"/>
        <w:ind w:firstLine="720"/>
        <w:jc w:val="center"/>
        <w:rPr>
          <w:sz w:val="28"/>
          <w:szCs w:val="28"/>
        </w:rPr>
      </w:pPr>
      <w:r w:rsidRPr="009065A7">
        <w:rPr>
          <w:sz w:val="28"/>
          <w:szCs w:val="28"/>
        </w:rPr>
        <w:t>Аналитическая справка</w:t>
      </w:r>
    </w:p>
    <w:p w:rsidR="00DA2D42" w:rsidRPr="009065A7" w:rsidRDefault="00DA2D42" w:rsidP="004B626C">
      <w:pPr>
        <w:spacing w:line="276" w:lineRule="auto"/>
        <w:ind w:firstLine="720"/>
        <w:jc w:val="center"/>
        <w:rPr>
          <w:sz w:val="28"/>
          <w:szCs w:val="28"/>
        </w:rPr>
      </w:pPr>
      <w:r w:rsidRPr="009065A7">
        <w:rPr>
          <w:sz w:val="28"/>
          <w:szCs w:val="28"/>
        </w:rPr>
        <w:t>о результатах оценки бюджетной, социальной и экономической эффективности налоговых льгот за 201</w:t>
      </w:r>
      <w:r w:rsidR="00C832C3">
        <w:rPr>
          <w:sz w:val="28"/>
          <w:szCs w:val="28"/>
        </w:rPr>
        <w:t>7</w:t>
      </w:r>
      <w:r w:rsidR="002240C8">
        <w:rPr>
          <w:sz w:val="28"/>
          <w:szCs w:val="28"/>
        </w:rPr>
        <w:t xml:space="preserve"> </w:t>
      </w:r>
      <w:r w:rsidRPr="009065A7">
        <w:rPr>
          <w:sz w:val="28"/>
          <w:szCs w:val="28"/>
        </w:rPr>
        <w:t>год</w:t>
      </w:r>
    </w:p>
    <w:p w:rsidR="00DA2D42" w:rsidRPr="009065A7" w:rsidRDefault="00DA2D42" w:rsidP="004B626C">
      <w:pPr>
        <w:spacing w:line="276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в Нижневартовском районе</w:t>
      </w:r>
    </w:p>
    <w:p w:rsidR="00DA2D42" w:rsidRPr="00A677AB" w:rsidRDefault="00DA2D42" w:rsidP="004B626C">
      <w:pPr>
        <w:spacing w:line="276" w:lineRule="auto"/>
        <w:ind w:firstLine="720"/>
        <w:jc w:val="both"/>
        <w:rPr>
          <w:b/>
          <w:sz w:val="28"/>
          <w:szCs w:val="28"/>
        </w:rPr>
      </w:pPr>
    </w:p>
    <w:p w:rsidR="00DA2D42" w:rsidRPr="00A677AB" w:rsidRDefault="00DA2D42" w:rsidP="004B626C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A677AB">
        <w:rPr>
          <w:sz w:val="28"/>
          <w:szCs w:val="28"/>
        </w:rPr>
        <w:t xml:space="preserve">В целях повышения эффективности управления бюджетными средствами в </w:t>
      </w:r>
      <w:r>
        <w:rPr>
          <w:sz w:val="28"/>
          <w:szCs w:val="28"/>
        </w:rPr>
        <w:t>Нижневартовском</w:t>
      </w:r>
      <w:r w:rsidRPr="00A677AB">
        <w:rPr>
          <w:sz w:val="28"/>
          <w:szCs w:val="28"/>
        </w:rPr>
        <w:t xml:space="preserve"> районе проведена оценка бюджетной, социальной и экономической эффективности предоставленных налоговых льгот по местным налогам.</w:t>
      </w:r>
    </w:p>
    <w:p w:rsidR="00DA2D42" w:rsidRDefault="00DA2D42" w:rsidP="004B626C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A677AB">
        <w:rPr>
          <w:sz w:val="28"/>
          <w:szCs w:val="28"/>
        </w:rPr>
        <w:t xml:space="preserve">Оценка бюджетной, социальной и экономической эффективности предоставляемых налоговых льгот осуществляется </w:t>
      </w:r>
      <w:r>
        <w:rPr>
          <w:sz w:val="28"/>
          <w:szCs w:val="28"/>
        </w:rPr>
        <w:t xml:space="preserve">в соответствии </w:t>
      </w:r>
      <w:r w:rsidRPr="00A677AB">
        <w:rPr>
          <w:sz w:val="28"/>
          <w:szCs w:val="28"/>
        </w:rPr>
        <w:t xml:space="preserve">с постановлением администрации </w:t>
      </w:r>
      <w:r>
        <w:rPr>
          <w:sz w:val="28"/>
          <w:szCs w:val="28"/>
        </w:rPr>
        <w:t>Нижневартовского</w:t>
      </w:r>
      <w:r w:rsidRPr="00A677AB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 xml:space="preserve">14.04.2014 № 690 года </w:t>
      </w:r>
      <w:r w:rsidRPr="00A677AB">
        <w:rPr>
          <w:sz w:val="28"/>
          <w:szCs w:val="28"/>
        </w:rPr>
        <w:t>№</w:t>
      </w:r>
      <w:r>
        <w:rPr>
          <w:sz w:val="28"/>
          <w:szCs w:val="28"/>
        </w:rPr>
        <w:t xml:space="preserve"> 690</w:t>
      </w:r>
      <w:r w:rsidRPr="00A677AB">
        <w:rPr>
          <w:sz w:val="28"/>
          <w:szCs w:val="28"/>
        </w:rPr>
        <w:t xml:space="preserve"> «</w:t>
      </w:r>
      <w:r w:rsidRPr="00DA2D42">
        <w:rPr>
          <w:sz w:val="28"/>
          <w:szCs w:val="28"/>
        </w:rPr>
        <w:t>Об утверждении Порядка оценки бюджетной, социальной и экономической эффективности предоставляемых (планируемых к предоставлению) налоговых льгот</w:t>
      </w:r>
      <w:r>
        <w:rPr>
          <w:sz w:val="28"/>
          <w:szCs w:val="28"/>
        </w:rPr>
        <w:t xml:space="preserve">» </w:t>
      </w:r>
      <w:r w:rsidRPr="00DA2D42">
        <w:rPr>
          <w:sz w:val="28"/>
          <w:szCs w:val="28"/>
        </w:rPr>
        <w:t xml:space="preserve">и проводится по трем критериям – бюджетная эффективность, социальная и экономическая. Оценке подлежат предоставленные льготы по трем видам налогов – земельному налогу с физических лиц, земельному налогу с юридических лиц и налогу на имущество физических лиц. </w:t>
      </w:r>
    </w:p>
    <w:p w:rsidR="00DA2D42" w:rsidRPr="00DA2D42" w:rsidRDefault="00DA2D42" w:rsidP="004B626C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DA2D42">
        <w:rPr>
          <w:sz w:val="28"/>
          <w:szCs w:val="28"/>
        </w:rPr>
        <w:t>Под оценкой эффективности понимается соответствие интересов бюджета района общественным интересам. Целью оценки является минимизация потерь бюджета, связанных с предоставлением налоговых льгот, и сохранение социальной политики в области налогообложения.</w:t>
      </w:r>
    </w:p>
    <w:p w:rsidR="00DA2D42" w:rsidRPr="00A677AB" w:rsidRDefault="00DA2D42" w:rsidP="004B626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A677AB">
        <w:rPr>
          <w:sz w:val="28"/>
          <w:szCs w:val="28"/>
        </w:rPr>
        <w:t>Оценка эффективности предоставления налоговых льгот проводилась на основании данных Отчета о налоговой базе и структуре начис</w:t>
      </w:r>
      <w:r>
        <w:rPr>
          <w:sz w:val="28"/>
          <w:szCs w:val="28"/>
        </w:rPr>
        <w:t>лений по местным налогам за 201</w:t>
      </w:r>
      <w:r w:rsidR="00C832C3">
        <w:rPr>
          <w:sz w:val="28"/>
          <w:szCs w:val="28"/>
        </w:rPr>
        <w:t>7</w:t>
      </w:r>
      <w:r w:rsidRPr="00A677AB">
        <w:rPr>
          <w:sz w:val="28"/>
          <w:szCs w:val="28"/>
        </w:rPr>
        <w:t xml:space="preserve"> год по форме 5-МН, предоставленного инспекцией </w:t>
      </w:r>
      <w:r>
        <w:rPr>
          <w:sz w:val="28"/>
          <w:szCs w:val="28"/>
        </w:rPr>
        <w:t>Межрайонной инспекцией ФНС России № 6 по ХМАО – Югре.</w:t>
      </w:r>
    </w:p>
    <w:p w:rsidR="00DA2D42" w:rsidRPr="00A677AB" w:rsidRDefault="00DA2D42" w:rsidP="004B626C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A677AB">
        <w:rPr>
          <w:sz w:val="28"/>
          <w:szCs w:val="28"/>
        </w:rPr>
        <w:t>Результаты оценки эффективнос</w:t>
      </w:r>
      <w:r w:rsidR="003E6221">
        <w:rPr>
          <w:sz w:val="28"/>
          <w:szCs w:val="28"/>
        </w:rPr>
        <w:t xml:space="preserve">ти налоговых льгот используются </w:t>
      </w:r>
      <w:r w:rsidRPr="00A677AB">
        <w:rPr>
          <w:sz w:val="28"/>
          <w:szCs w:val="28"/>
        </w:rPr>
        <w:t>в процессе:</w:t>
      </w:r>
    </w:p>
    <w:p w:rsidR="00DA2D42" w:rsidRPr="00A677AB" w:rsidRDefault="00DA2D42" w:rsidP="004B626C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A677AB">
        <w:rPr>
          <w:sz w:val="28"/>
          <w:szCs w:val="28"/>
        </w:rPr>
        <w:t xml:space="preserve">- разработки бюджета </w:t>
      </w:r>
      <w:r>
        <w:rPr>
          <w:sz w:val="28"/>
          <w:szCs w:val="28"/>
        </w:rPr>
        <w:t>Нижневартовского</w:t>
      </w:r>
      <w:r w:rsidRPr="00A677AB">
        <w:rPr>
          <w:sz w:val="28"/>
          <w:szCs w:val="28"/>
        </w:rPr>
        <w:t xml:space="preserve"> района на очередной финансовый год и плановый период;</w:t>
      </w:r>
    </w:p>
    <w:p w:rsidR="00DA2D42" w:rsidRPr="00A677AB" w:rsidRDefault="00DA2D42" w:rsidP="004B626C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A677AB">
        <w:rPr>
          <w:sz w:val="28"/>
          <w:szCs w:val="28"/>
        </w:rPr>
        <w:t>- своевременного принятия мер по отмене неэффективных налоговых льгот;</w:t>
      </w:r>
    </w:p>
    <w:p w:rsidR="00DA2D42" w:rsidRPr="00A677AB" w:rsidRDefault="00DA2D42" w:rsidP="004B626C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A677AB">
        <w:rPr>
          <w:sz w:val="28"/>
          <w:szCs w:val="28"/>
        </w:rPr>
        <w:t xml:space="preserve">- разработки предложений администрации </w:t>
      </w:r>
      <w:r>
        <w:rPr>
          <w:sz w:val="28"/>
          <w:szCs w:val="28"/>
        </w:rPr>
        <w:t>Нижневартовского</w:t>
      </w:r>
      <w:r w:rsidRPr="00A677AB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по </w:t>
      </w:r>
      <w:r w:rsidRPr="00A677AB">
        <w:rPr>
          <w:sz w:val="28"/>
          <w:szCs w:val="28"/>
        </w:rPr>
        <w:t>совершенствованию мер поддержки отдельных категорий налогоплательщиков;</w:t>
      </w:r>
    </w:p>
    <w:p w:rsidR="00DA2D42" w:rsidRPr="00A677AB" w:rsidRDefault="00DA2D42" w:rsidP="004B626C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A677AB">
        <w:rPr>
          <w:sz w:val="28"/>
          <w:szCs w:val="28"/>
        </w:rPr>
        <w:t>- установления налоговых льгот.</w:t>
      </w:r>
    </w:p>
    <w:p w:rsidR="00DA2D42" w:rsidRDefault="00DA2D42" w:rsidP="004B626C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</w:p>
    <w:p w:rsidR="00DA2D42" w:rsidRPr="009065A7" w:rsidRDefault="00DA2D42" w:rsidP="004B626C">
      <w:pPr>
        <w:pStyle w:val="a3"/>
        <w:spacing w:before="0" w:beforeAutospacing="0" w:after="0" w:afterAutospacing="0" w:line="276" w:lineRule="auto"/>
        <w:ind w:firstLine="720"/>
        <w:jc w:val="center"/>
        <w:rPr>
          <w:sz w:val="28"/>
          <w:szCs w:val="28"/>
        </w:rPr>
      </w:pPr>
      <w:r w:rsidRPr="009065A7">
        <w:rPr>
          <w:sz w:val="28"/>
          <w:szCs w:val="28"/>
        </w:rPr>
        <w:t>Налог на имущество физических лиц</w:t>
      </w:r>
    </w:p>
    <w:p w:rsidR="00DA2D42" w:rsidRPr="00A677AB" w:rsidRDefault="00DA2D42" w:rsidP="004B626C">
      <w:pPr>
        <w:pStyle w:val="a3"/>
        <w:spacing w:before="0" w:beforeAutospacing="0" w:after="0" w:afterAutospacing="0" w:line="276" w:lineRule="auto"/>
        <w:ind w:firstLine="720"/>
        <w:jc w:val="center"/>
        <w:rPr>
          <w:b/>
          <w:sz w:val="28"/>
          <w:szCs w:val="28"/>
        </w:rPr>
      </w:pPr>
    </w:p>
    <w:p w:rsidR="00DA2D42" w:rsidRPr="00A677AB" w:rsidRDefault="000D01F8" w:rsidP="004B626C">
      <w:pPr>
        <w:pStyle w:val="ConsPlusNormal"/>
        <w:spacing w:line="276" w:lineRule="auto"/>
        <w:ind w:firstLine="709"/>
        <w:jc w:val="both"/>
      </w:pPr>
      <w:r>
        <w:t>Решением</w:t>
      </w:r>
      <w:r w:rsidR="005E338A">
        <w:t xml:space="preserve"> Думы Нижневартовского района от 28.11.2014 № 587 «О налоге на имущество физических лиц» </w:t>
      </w:r>
      <w:r>
        <w:t>н</w:t>
      </w:r>
      <w:r w:rsidR="006D43AF">
        <w:t>а межселенной территории района</w:t>
      </w:r>
      <w:r>
        <w:t xml:space="preserve"> установлен налог на имущество физических лиц, исходя из кадастровой стоимости. При этом </w:t>
      </w:r>
      <w:r w:rsidR="005E338A">
        <w:t xml:space="preserve">налоговые льготы для физических лиц не устанавливались, так как Налоговым кодексом Российской Федерации установлен исчерпывающий перечень категорий лиц, которым </w:t>
      </w:r>
      <w:r>
        <w:lastRenderedPageBreak/>
        <w:t>предоставлены</w:t>
      </w:r>
      <w:r w:rsidR="005E338A">
        <w:t xml:space="preserve"> льготы, а также, в отношении каждого объекта недвижимого имущества установлены налоговые вычеты. </w:t>
      </w:r>
    </w:p>
    <w:p w:rsidR="00DA2D42" w:rsidRPr="00A677AB" w:rsidRDefault="00DA2D42" w:rsidP="004B626C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677AB">
        <w:rPr>
          <w:sz w:val="28"/>
          <w:szCs w:val="28"/>
        </w:rPr>
        <w:t>Сумма предоставленных налоговых льго</w:t>
      </w:r>
      <w:r>
        <w:rPr>
          <w:sz w:val="28"/>
          <w:szCs w:val="28"/>
        </w:rPr>
        <w:t>т,</w:t>
      </w:r>
      <w:r w:rsidRPr="00A677AB">
        <w:rPr>
          <w:sz w:val="28"/>
          <w:szCs w:val="28"/>
        </w:rPr>
        <w:t xml:space="preserve"> установленных нормативным правовым актом представительного органа </w:t>
      </w:r>
      <w:r w:rsidR="000D01F8">
        <w:rPr>
          <w:sz w:val="28"/>
          <w:szCs w:val="28"/>
        </w:rPr>
        <w:t>Нижневартовского района</w:t>
      </w:r>
      <w:r>
        <w:rPr>
          <w:sz w:val="28"/>
          <w:szCs w:val="28"/>
        </w:rPr>
        <w:t>, в 201</w:t>
      </w:r>
      <w:r w:rsidR="00C832C3">
        <w:rPr>
          <w:sz w:val="28"/>
          <w:szCs w:val="28"/>
        </w:rPr>
        <w:t>7</w:t>
      </w:r>
      <w:r>
        <w:rPr>
          <w:sz w:val="28"/>
          <w:szCs w:val="28"/>
        </w:rPr>
        <w:t xml:space="preserve"> году</w:t>
      </w:r>
      <w:r w:rsidRPr="00A677AB">
        <w:rPr>
          <w:sz w:val="28"/>
          <w:szCs w:val="28"/>
        </w:rPr>
        <w:t xml:space="preserve"> составила 0 рублей. Количество налогоплательщиков налога на имущество физических лиц, учтенных в базе данных налогового органа </w:t>
      </w:r>
      <w:r>
        <w:rPr>
          <w:sz w:val="28"/>
          <w:szCs w:val="28"/>
        </w:rPr>
        <w:t>–</w:t>
      </w:r>
      <w:r w:rsidRPr="00A677AB">
        <w:rPr>
          <w:sz w:val="28"/>
          <w:szCs w:val="28"/>
        </w:rPr>
        <w:t xml:space="preserve"> </w:t>
      </w:r>
      <w:r w:rsidR="00C832C3">
        <w:rPr>
          <w:sz w:val="28"/>
          <w:szCs w:val="28"/>
        </w:rPr>
        <w:t>482</w:t>
      </w:r>
      <w:r w:rsidRPr="00A677AB">
        <w:rPr>
          <w:sz w:val="28"/>
          <w:szCs w:val="28"/>
        </w:rPr>
        <w:t>, количество налогоплательщиков которым исчислен налог и не предоставлены налоговые льготы –</w:t>
      </w:r>
      <w:r>
        <w:rPr>
          <w:sz w:val="28"/>
          <w:szCs w:val="28"/>
        </w:rPr>
        <w:t xml:space="preserve"> </w:t>
      </w:r>
      <w:r w:rsidR="00C832C3">
        <w:rPr>
          <w:sz w:val="28"/>
          <w:szCs w:val="28"/>
        </w:rPr>
        <w:t>377</w:t>
      </w:r>
      <w:r w:rsidR="000D01F8">
        <w:rPr>
          <w:sz w:val="28"/>
          <w:szCs w:val="28"/>
        </w:rPr>
        <w:t xml:space="preserve">, предоставлены налоговые льготы, установленные федеральным законодательством – </w:t>
      </w:r>
      <w:r w:rsidR="00C832C3">
        <w:rPr>
          <w:sz w:val="28"/>
          <w:szCs w:val="28"/>
        </w:rPr>
        <w:t xml:space="preserve">105. Сумма льгот, установленных федеральным законодательством составляет 80,0 тыс. рублей </w:t>
      </w:r>
    </w:p>
    <w:p w:rsidR="00DA2D42" w:rsidRDefault="003E6221" w:rsidP="004B626C">
      <w:pPr>
        <w:spacing w:line="276" w:lineRule="auto"/>
        <w:ind w:firstLine="709"/>
        <w:jc w:val="both"/>
        <w:rPr>
          <w:sz w:val="28"/>
          <w:szCs w:val="28"/>
        </w:rPr>
      </w:pPr>
      <w:r w:rsidRPr="003E6221">
        <w:rPr>
          <w:sz w:val="28"/>
          <w:szCs w:val="28"/>
        </w:rPr>
        <w:t>Исходя из того</w:t>
      </w:r>
      <w:r>
        <w:rPr>
          <w:sz w:val="28"/>
          <w:szCs w:val="28"/>
        </w:rPr>
        <w:t xml:space="preserve">, что льготы по данному налогу </w:t>
      </w:r>
      <w:r w:rsidRPr="00A677AB">
        <w:rPr>
          <w:sz w:val="28"/>
          <w:szCs w:val="28"/>
        </w:rPr>
        <w:t>представительн</w:t>
      </w:r>
      <w:r>
        <w:rPr>
          <w:sz w:val="28"/>
          <w:szCs w:val="28"/>
        </w:rPr>
        <w:t>ым</w:t>
      </w:r>
      <w:r w:rsidRPr="00A677AB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</w:t>
      </w:r>
      <w:r w:rsidRPr="00A677AB">
        <w:rPr>
          <w:sz w:val="28"/>
          <w:szCs w:val="28"/>
        </w:rPr>
        <w:t xml:space="preserve"> </w:t>
      </w:r>
      <w:r>
        <w:rPr>
          <w:sz w:val="28"/>
          <w:szCs w:val="28"/>
        </w:rPr>
        <w:t>Нижневартовского района не установлены, оценка эффективности налоговых льгот не рассчитывалась.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764"/>
        <w:gridCol w:w="4901"/>
        <w:gridCol w:w="1134"/>
        <w:gridCol w:w="1134"/>
        <w:gridCol w:w="1276"/>
        <w:gridCol w:w="1134"/>
      </w:tblGrid>
      <w:tr w:rsidR="002240C8" w:rsidRPr="002240C8" w:rsidTr="002240C8">
        <w:trPr>
          <w:trHeight w:val="300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C8" w:rsidRPr="002240C8" w:rsidRDefault="002240C8" w:rsidP="002240C8">
            <w:pPr>
              <w:jc w:val="center"/>
              <w:rPr>
                <w:color w:val="000000"/>
              </w:rPr>
            </w:pPr>
            <w:r w:rsidRPr="002240C8">
              <w:rPr>
                <w:color w:val="000000"/>
              </w:rPr>
              <w:t>№ п/п</w:t>
            </w:r>
          </w:p>
        </w:tc>
        <w:tc>
          <w:tcPr>
            <w:tcW w:w="4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C8" w:rsidRPr="002240C8" w:rsidRDefault="002240C8" w:rsidP="002240C8">
            <w:pPr>
              <w:jc w:val="center"/>
              <w:rPr>
                <w:color w:val="000000"/>
              </w:rPr>
            </w:pPr>
            <w:r w:rsidRPr="002240C8">
              <w:rPr>
                <w:color w:val="000000"/>
              </w:rPr>
              <w:t>Наименование</w:t>
            </w:r>
            <w:r w:rsidRPr="002240C8">
              <w:rPr>
                <w:color w:val="000000"/>
              </w:rPr>
              <w:br/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0C8" w:rsidRPr="002240C8" w:rsidRDefault="002240C8" w:rsidP="002240C8">
            <w:pPr>
              <w:jc w:val="center"/>
              <w:rPr>
                <w:color w:val="000000"/>
              </w:rPr>
            </w:pPr>
            <w:r w:rsidRPr="002240C8">
              <w:rPr>
                <w:color w:val="000000"/>
              </w:rPr>
              <w:t>Ед.</w:t>
            </w:r>
            <w:r>
              <w:rPr>
                <w:color w:val="000000"/>
              </w:rPr>
              <w:t xml:space="preserve"> </w:t>
            </w:r>
            <w:r w:rsidRPr="002240C8">
              <w:rPr>
                <w:color w:val="000000"/>
              </w:rPr>
              <w:t>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C8" w:rsidRPr="002240C8" w:rsidRDefault="002240C8" w:rsidP="00403C1D">
            <w:pPr>
              <w:jc w:val="center"/>
              <w:rPr>
                <w:color w:val="000000"/>
              </w:rPr>
            </w:pPr>
            <w:r w:rsidRPr="002240C8">
              <w:rPr>
                <w:color w:val="000000"/>
              </w:rPr>
              <w:t>201</w:t>
            </w:r>
            <w:r w:rsidR="00403C1D">
              <w:rPr>
                <w:color w:val="000000"/>
              </w:rPr>
              <w:t>6</w:t>
            </w:r>
            <w:r w:rsidRPr="002240C8">
              <w:rPr>
                <w:color w:val="000000"/>
              </w:rPr>
              <w:t xml:space="preserve"> год</w:t>
            </w:r>
            <w:r w:rsidRPr="002240C8">
              <w:rPr>
                <w:color w:val="000000"/>
              </w:rPr>
              <w:br/>
              <w:t xml:space="preserve">(отчет)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C8" w:rsidRPr="002240C8" w:rsidRDefault="002240C8" w:rsidP="00403C1D">
            <w:pPr>
              <w:jc w:val="center"/>
              <w:rPr>
                <w:color w:val="000000"/>
              </w:rPr>
            </w:pPr>
            <w:r w:rsidRPr="002240C8">
              <w:rPr>
                <w:color w:val="000000"/>
              </w:rPr>
              <w:t>201</w:t>
            </w:r>
            <w:r w:rsidR="00403C1D">
              <w:rPr>
                <w:color w:val="000000"/>
              </w:rPr>
              <w:t>7</w:t>
            </w:r>
            <w:r w:rsidRPr="002240C8">
              <w:rPr>
                <w:color w:val="000000"/>
              </w:rPr>
              <w:t xml:space="preserve"> год</w:t>
            </w:r>
            <w:r w:rsidRPr="002240C8">
              <w:rPr>
                <w:color w:val="000000"/>
              </w:rPr>
              <w:br/>
              <w:t xml:space="preserve">(отчет)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C8" w:rsidRPr="002240C8" w:rsidRDefault="002240C8" w:rsidP="00224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Темп роста, %</w:t>
            </w:r>
          </w:p>
        </w:tc>
      </w:tr>
      <w:tr w:rsidR="002240C8" w:rsidRPr="002240C8" w:rsidTr="002240C8">
        <w:trPr>
          <w:trHeight w:val="458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C8" w:rsidRPr="002240C8" w:rsidRDefault="002240C8" w:rsidP="002240C8">
            <w:pPr>
              <w:rPr>
                <w:color w:val="000000"/>
              </w:rPr>
            </w:pP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C8" w:rsidRPr="002240C8" w:rsidRDefault="002240C8" w:rsidP="002240C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C8" w:rsidRPr="002240C8" w:rsidRDefault="002240C8" w:rsidP="002240C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C8" w:rsidRPr="002240C8" w:rsidRDefault="002240C8" w:rsidP="002240C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C8" w:rsidRPr="002240C8" w:rsidRDefault="002240C8" w:rsidP="002240C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C8" w:rsidRPr="002240C8" w:rsidRDefault="002240C8" w:rsidP="002240C8">
            <w:pPr>
              <w:rPr>
                <w:color w:val="000000"/>
              </w:rPr>
            </w:pPr>
          </w:p>
        </w:tc>
      </w:tr>
      <w:tr w:rsidR="00C832C3" w:rsidRPr="002240C8" w:rsidTr="00C832C3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2C3" w:rsidRPr="002240C8" w:rsidRDefault="00C832C3" w:rsidP="00C832C3">
            <w:pPr>
              <w:jc w:val="center"/>
              <w:rPr>
                <w:color w:val="000000"/>
              </w:rPr>
            </w:pPr>
            <w:r w:rsidRPr="002240C8">
              <w:rPr>
                <w:color w:val="000000"/>
              </w:rPr>
              <w:t>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2C3" w:rsidRPr="002240C8" w:rsidRDefault="00C832C3" w:rsidP="00C832C3">
            <w:pPr>
              <w:rPr>
                <w:color w:val="000000"/>
              </w:rPr>
            </w:pPr>
            <w:r w:rsidRPr="002240C8">
              <w:rPr>
                <w:color w:val="000000"/>
              </w:rPr>
              <w:t>Налоговая база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2C3" w:rsidRPr="002240C8" w:rsidRDefault="00C832C3" w:rsidP="00C832C3">
            <w:pPr>
              <w:jc w:val="center"/>
              <w:rPr>
                <w:color w:val="000000"/>
                <w:sz w:val="20"/>
                <w:szCs w:val="20"/>
              </w:rPr>
            </w:pPr>
            <w:r w:rsidRPr="002240C8">
              <w:rPr>
                <w:color w:val="000000"/>
                <w:sz w:val="20"/>
                <w:szCs w:val="20"/>
              </w:rPr>
              <w:t>(тыс.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240C8"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2C3" w:rsidRPr="00C832C3" w:rsidRDefault="00C832C3" w:rsidP="00C832C3">
            <w:pPr>
              <w:jc w:val="center"/>
              <w:rPr>
                <w:color w:val="000000"/>
              </w:rPr>
            </w:pPr>
            <w:r w:rsidRPr="00C832C3">
              <w:rPr>
                <w:color w:val="000000"/>
              </w:rPr>
              <w:t>614 263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2C3" w:rsidRPr="00C832C3" w:rsidRDefault="00C832C3" w:rsidP="00C832C3">
            <w:pPr>
              <w:jc w:val="center"/>
              <w:rPr>
                <w:color w:val="000000"/>
              </w:rPr>
            </w:pPr>
            <w:r w:rsidRPr="00C832C3">
              <w:rPr>
                <w:color w:val="000000"/>
              </w:rPr>
              <w:t>687 854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2C3" w:rsidRPr="002240C8" w:rsidRDefault="00C832C3" w:rsidP="00C832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1,16</w:t>
            </w:r>
          </w:p>
        </w:tc>
      </w:tr>
      <w:tr w:rsidR="00C832C3" w:rsidRPr="002240C8" w:rsidTr="00C832C3">
        <w:trPr>
          <w:trHeight w:val="623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2C3" w:rsidRPr="002240C8" w:rsidRDefault="00C832C3" w:rsidP="00C832C3">
            <w:pPr>
              <w:jc w:val="center"/>
              <w:rPr>
                <w:color w:val="000000"/>
              </w:rPr>
            </w:pPr>
            <w:r w:rsidRPr="002240C8">
              <w:rPr>
                <w:color w:val="000000"/>
              </w:rPr>
              <w:t>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2C3" w:rsidRPr="002240C8" w:rsidRDefault="00C832C3" w:rsidP="00C832C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Сумма исчисленного налога, </w:t>
            </w:r>
            <w:r w:rsidRPr="002240C8">
              <w:rPr>
                <w:color w:val="000000"/>
              </w:rPr>
              <w:t>подлежащего уплате в бюджет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2C3" w:rsidRPr="002240C8" w:rsidRDefault="00C832C3" w:rsidP="00C832C3">
            <w:pPr>
              <w:jc w:val="center"/>
              <w:rPr>
                <w:color w:val="000000"/>
                <w:sz w:val="20"/>
                <w:szCs w:val="20"/>
              </w:rPr>
            </w:pPr>
            <w:r w:rsidRPr="002240C8">
              <w:rPr>
                <w:color w:val="000000"/>
                <w:sz w:val="20"/>
                <w:szCs w:val="20"/>
              </w:rPr>
              <w:t>(тыс.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240C8"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2C3" w:rsidRPr="00C832C3" w:rsidRDefault="00C832C3" w:rsidP="00C832C3">
            <w:pPr>
              <w:jc w:val="center"/>
              <w:rPr>
                <w:color w:val="000000"/>
              </w:rPr>
            </w:pPr>
            <w:r w:rsidRPr="00C832C3">
              <w:rPr>
                <w:color w:val="000000"/>
              </w:rPr>
              <w:t>1 493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2C3" w:rsidRPr="00C832C3" w:rsidRDefault="00C832C3" w:rsidP="00C832C3">
            <w:pPr>
              <w:jc w:val="center"/>
              <w:rPr>
                <w:color w:val="000000"/>
              </w:rPr>
            </w:pPr>
            <w:r w:rsidRPr="00C832C3">
              <w:rPr>
                <w:color w:val="000000"/>
              </w:rPr>
              <w:t>2 477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2C3" w:rsidRPr="002240C8" w:rsidRDefault="00C832C3" w:rsidP="00C832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1,22</w:t>
            </w:r>
          </w:p>
        </w:tc>
      </w:tr>
      <w:tr w:rsidR="002240C8" w:rsidRPr="002240C8" w:rsidTr="002240C8">
        <w:trPr>
          <w:trHeight w:val="91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C8" w:rsidRPr="002240C8" w:rsidRDefault="002240C8" w:rsidP="002240C8">
            <w:pPr>
              <w:jc w:val="center"/>
              <w:rPr>
                <w:color w:val="000000"/>
              </w:rPr>
            </w:pPr>
            <w:r w:rsidRPr="002240C8">
              <w:rPr>
                <w:color w:val="000000"/>
              </w:rPr>
              <w:t>3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0C8" w:rsidRPr="002240C8" w:rsidRDefault="002240C8" w:rsidP="002240C8">
            <w:pPr>
              <w:rPr>
                <w:color w:val="000000"/>
              </w:rPr>
            </w:pPr>
            <w:r w:rsidRPr="002240C8">
              <w:rPr>
                <w:color w:val="000000"/>
              </w:rPr>
              <w:t>Сумма предоставленных налоговых льгот, установленных представительным органом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0C8" w:rsidRPr="002240C8" w:rsidRDefault="002240C8" w:rsidP="002240C8">
            <w:pPr>
              <w:jc w:val="center"/>
              <w:rPr>
                <w:color w:val="000000"/>
                <w:sz w:val="20"/>
                <w:szCs w:val="20"/>
              </w:rPr>
            </w:pPr>
            <w:r w:rsidRPr="002240C8">
              <w:rPr>
                <w:color w:val="000000"/>
                <w:sz w:val="20"/>
                <w:szCs w:val="20"/>
              </w:rPr>
              <w:t>(тыс.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240C8"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0C8" w:rsidRPr="002240C8" w:rsidRDefault="002240C8" w:rsidP="002240C8">
            <w:pPr>
              <w:jc w:val="center"/>
              <w:rPr>
                <w:color w:val="000000"/>
              </w:rPr>
            </w:pPr>
            <w:r w:rsidRPr="002240C8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0C8" w:rsidRPr="002240C8" w:rsidRDefault="002240C8" w:rsidP="002240C8">
            <w:pPr>
              <w:jc w:val="center"/>
              <w:rPr>
                <w:color w:val="000000"/>
              </w:rPr>
            </w:pPr>
            <w:r w:rsidRPr="002240C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0C8" w:rsidRPr="002240C8" w:rsidRDefault="002240C8" w:rsidP="00224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</w:tbl>
    <w:p w:rsidR="002240C8" w:rsidRDefault="002240C8" w:rsidP="004B626C">
      <w:pPr>
        <w:spacing w:line="276" w:lineRule="auto"/>
        <w:ind w:firstLine="709"/>
        <w:jc w:val="both"/>
      </w:pPr>
    </w:p>
    <w:p w:rsidR="00DA2D42" w:rsidRPr="00A677AB" w:rsidRDefault="00DA2D42" w:rsidP="004B626C">
      <w:pPr>
        <w:spacing w:line="276" w:lineRule="auto"/>
        <w:ind w:firstLine="720"/>
        <w:jc w:val="both"/>
        <w:rPr>
          <w:sz w:val="28"/>
          <w:szCs w:val="28"/>
        </w:rPr>
      </w:pPr>
    </w:p>
    <w:p w:rsidR="00DA2D42" w:rsidRPr="009065A7" w:rsidRDefault="00DA2D42" w:rsidP="004B626C">
      <w:pPr>
        <w:spacing w:line="276" w:lineRule="auto"/>
        <w:ind w:firstLine="720"/>
        <w:jc w:val="center"/>
        <w:rPr>
          <w:sz w:val="28"/>
          <w:szCs w:val="28"/>
        </w:rPr>
      </w:pPr>
      <w:r w:rsidRPr="009065A7">
        <w:rPr>
          <w:sz w:val="28"/>
          <w:szCs w:val="28"/>
        </w:rPr>
        <w:t>Земельный налог</w:t>
      </w:r>
    </w:p>
    <w:p w:rsidR="00DA2D42" w:rsidRPr="002240C8" w:rsidRDefault="002240C8" w:rsidP="004B626C">
      <w:pPr>
        <w:spacing w:line="276" w:lineRule="auto"/>
        <w:ind w:firstLine="720"/>
        <w:jc w:val="center"/>
        <w:rPr>
          <w:i/>
          <w:sz w:val="28"/>
          <w:szCs w:val="28"/>
        </w:rPr>
      </w:pPr>
      <w:r w:rsidRPr="002240C8">
        <w:rPr>
          <w:i/>
          <w:sz w:val="28"/>
          <w:szCs w:val="28"/>
        </w:rPr>
        <w:t>Физические лица</w:t>
      </w:r>
    </w:p>
    <w:p w:rsidR="00DA2D42" w:rsidRPr="00790AD0" w:rsidRDefault="00790AD0" w:rsidP="004B626C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Решением Думы Нижневарт</w:t>
      </w:r>
      <w:r w:rsidR="00C832C3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вского района </w:t>
      </w:r>
      <w:r w:rsidR="00887B2A" w:rsidRPr="00790AD0">
        <w:rPr>
          <w:rFonts w:ascii="Times New Roman" w:hAnsi="Times New Roman" w:cs="Times New Roman"/>
          <w:b w:val="0"/>
          <w:sz w:val="28"/>
          <w:szCs w:val="28"/>
        </w:rPr>
        <w:t xml:space="preserve">от 19 марта 2015 г. </w:t>
      </w:r>
      <w:r w:rsidR="00887B2A">
        <w:rPr>
          <w:rFonts w:ascii="Times New Roman" w:hAnsi="Times New Roman" w:cs="Times New Roman"/>
          <w:b w:val="0"/>
          <w:sz w:val="28"/>
          <w:szCs w:val="28"/>
        </w:rPr>
        <w:t>№</w:t>
      </w:r>
      <w:r w:rsidR="00887B2A" w:rsidRPr="00790AD0">
        <w:rPr>
          <w:rFonts w:ascii="Times New Roman" w:hAnsi="Times New Roman" w:cs="Times New Roman"/>
          <w:b w:val="0"/>
          <w:sz w:val="28"/>
          <w:szCs w:val="28"/>
        </w:rPr>
        <w:t xml:space="preserve"> 632</w:t>
      </w:r>
      <w:r w:rsidR="00887B2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887B2A" w:rsidRPr="00790AD0">
        <w:rPr>
          <w:rFonts w:ascii="Times New Roman" w:hAnsi="Times New Roman" w:cs="Times New Roman"/>
          <w:b w:val="0"/>
          <w:sz w:val="28"/>
          <w:szCs w:val="28"/>
        </w:rPr>
        <w:t>О земельном налоге</w:t>
      </w:r>
      <w:r w:rsidR="00887B2A">
        <w:rPr>
          <w:rFonts w:ascii="Times New Roman" w:hAnsi="Times New Roman" w:cs="Times New Roman"/>
          <w:b w:val="0"/>
          <w:sz w:val="28"/>
          <w:szCs w:val="28"/>
        </w:rPr>
        <w:t>»</w:t>
      </w:r>
      <w:r w:rsidR="00887B2A">
        <w:t xml:space="preserve"> </w:t>
      </w:r>
      <w:r w:rsidR="00887B2A" w:rsidRPr="00790AD0">
        <w:rPr>
          <w:rFonts w:ascii="Times New Roman" w:hAnsi="Times New Roman" w:cs="Times New Roman"/>
          <w:b w:val="0"/>
          <w:sz w:val="28"/>
          <w:szCs w:val="28"/>
        </w:rPr>
        <w:t>(</w:t>
      </w:r>
      <w:r w:rsidR="00887B2A" w:rsidRPr="00887B2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ред. решений Думы Нижневартовского района от 17.11.2015</w:t>
      </w:r>
      <w:r w:rsidR="00887B2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№ 721</w:t>
      </w:r>
      <w:hyperlink r:id="rId7" w:history="1"/>
      <w:r w:rsidR="00887B2A" w:rsidRPr="00887B2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 от 02.05.2017</w:t>
      </w:r>
      <w:r w:rsidR="00887B2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№ 150</w:t>
      </w:r>
      <w:r w:rsidR="00887B2A" w:rsidRPr="00790AD0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0AD0">
        <w:rPr>
          <w:rFonts w:ascii="Times New Roman" w:hAnsi="Times New Roman" w:cs="Times New Roman"/>
          <w:b w:val="0"/>
          <w:sz w:val="28"/>
          <w:szCs w:val="28"/>
        </w:rPr>
        <w:t xml:space="preserve">на межселенной территории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установлен земельный налог. </w:t>
      </w:r>
      <w:r w:rsidR="00DA2D42" w:rsidRPr="00790A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соответствие с данным решением от уплаты земельного налога в размере 100 % освобождены следующие категории физических лиц:</w:t>
      </w:r>
    </w:p>
    <w:p w:rsidR="00790AD0" w:rsidRDefault="00790AD0" w:rsidP="004B626C">
      <w:pPr>
        <w:pStyle w:val="ConsPlusNormal"/>
        <w:spacing w:line="276" w:lineRule="auto"/>
        <w:ind w:firstLine="540"/>
        <w:jc w:val="both"/>
      </w:pPr>
      <w:r>
        <w:t>1. Герои Советского Союза, Герои Российской Федерации, полные кавалеры ордена Славы.</w:t>
      </w:r>
    </w:p>
    <w:p w:rsidR="00790AD0" w:rsidRDefault="00790AD0" w:rsidP="004B626C">
      <w:pPr>
        <w:pStyle w:val="ConsPlusNormal"/>
        <w:spacing w:line="276" w:lineRule="auto"/>
        <w:ind w:firstLine="540"/>
        <w:jc w:val="both"/>
      </w:pPr>
      <w:r>
        <w:t>2. Ветераны и инвалиды Великой Отечественной войны, а также ветераны и инвалиды боевых действий.</w:t>
      </w:r>
    </w:p>
    <w:p w:rsidR="00790AD0" w:rsidRDefault="00790AD0" w:rsidP="004B626C">
      <w:pPr>
        <w:pStyle w:val="ConsPlusNormal"/>
        <w:spacing w:line="276" w:lineRule="auto"/>
        <w:ind w:firstLine="540"/>
        <w:jc w:val="both"/>
      </w:pPr>
      <w:r>
        <w:t>3. Неработающие пенсионеры в отношении одного земельного участка.</w:t>
      </w:r>
    </w:p>
    <w:p w:rsidR="00790AD0" w:rsidRDefault="00790AD0" w:rsidP="004B626C">
      <w:pPr>
        <w:pStyle w:val="ConsPlusNormal"/>
        <w:spacing w:line="276" w:lineRule="auto"/>
        <w:ind w:firstLine="540"/>
        <w:jc w:val="both"/>
      </w:pPr>
      <w:r>
        <w:t>4. Многодетные семьи, имеющие на иждивении 3-х и более детей.</w:t>
      </w:r>
    </w:p>
    <w:p w:rsidR="00790AD0" w:rsidRDefault="00790AD0" w:rsidP="004B626C">
      <w:pPr>
        <w:pStyle w:val="ConsPlusNormal"/>
        <w:spacing w:line="276" w:lineRule="auto"/>
        <w:ind w:firstLine="540"/>
        <w:jc w:val="both"/>
      </w:pPr>
      <w:r>
        <w:t>5. Инвалиды I, II групп, а также инвалиды детства.</w:t>
      </w:r>
    </w:p>
    <w:p w:rsidR="00790AD0" w:rsidRDefault="00790AD0" w:rsidP="004B626C">
      <w:pPr>
        <w:pStyle w:val="ConsPlusNormal"/>
        <w:spacing w:line="276" w:lineRule="auto"/>
        <w:ind w:firstLine="540"/>
        <w:jc w:val="both"/>
      </w:pPr>
      <w:r>
        <w:t>6. Неработающие инвалиды III группы.</w:t>
      </w:r>
    </w:p>
    <w:p w:rsidR="00790AD0" w:rsidRDefault="00790AD0" w:rsidP="004B626C">
      <w:pPr>
        <w:pStyle w:val="ConsPlusNormal"/>
        <w:spacing w:line="276" w:lineRule="auto"/>
        <w:ind w:firstLine="540"/>
        <w:jc w:val="both"/>
      </w:pPr>
      <w:r>
        <w:t>7. Граждане, получившие для сельскохозяйственных нужд нарушенные земли (требующие рекультивации) на первые 10 лет пользования.</w:t>
      </w:r>
    </w:p>
    <w:p w:rsidR="00790AD0" w:rsidRDefault="00790AD0" w:rsidP="004B626C">
      <w:pPr>
        <w:pStyle w:val="ConsPlusNormal"/>
        <w:spacing w:line="276" w:lineRule="auto"/>
        <w:ind w:firstLine="540"/>
        <w:jc w:val="both"/>
      </w:pPr>
      <w:r w:rsidRPr="00887B2A">
        <w:lastRenderedPageBreak/>
        <w:t xml:space="preserve">8. Лица, имеющие право на получение социальной поддержки в соответствии с </w:t>
      </w:r>
      <w:hyperlink r:id="rId8" w:history="1">
        <w:r w:rsidRPr="00887B2A">
          <w:t>Законом</w:t>
        </w:r>
      </w:hyperlink>
      <w:r w:rsidRPr="00887B2A"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</w:r>
      <w:hyperlink r:id="rId9" w:history="1">
        <w:r w:rsidRPr="00887B2A">
          <w:t>Закона</w:t>
        </w:r>
      </w:hyperlink>
      <w:r w:rsidRPr="00887B2A">
        <w:t xml:space="preserve"> Российской Федерации от 18.06.1992 N 3061-1), в соответствии с Федеральным </w:t>
      </w:r>
      <w:hyperlink r:id="rId10" w:history="1">
        <w:r w:rsidRPr="00887B2A">
          <w:t>законом</w:t>
        </w:r>
      </w:hyperlink>
      <w:r w:rsidRPr="00887B2A">
        <w:t xml:space="preserve">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887B2A">
        <w:t>Теча</w:t>
      </w:r>
      <w:proofErr w:type="spellEnd"/>
      <w:r w:rsidRPr="00887B2A">
        <w:t xml:space="preserve">" и в соответствии с Федеральным </w:t>
      </w:r>
      <w:hyperlink r:id="rId11" w:history="1">
        <w:r w:rsidRPr="00887B2A">
          <w:t>законом</w:t>
        </w:r>
      </w:hyperlink>
      <w:r w:rsidRPr="00887B2A">
        <w:t xml:space="preserve"> от 10.01.2002 N 2-ФЗ "О социальных гарантиях </w:t>
      </w:r>
      <w:r>
        <w:t>гражданам Российской Федерации, подвергшимся радиационному воздействию вследствие ядерных испытаний на Семипалатинском полигоне".</w:t>
      </w:r>
    </w:p>
    <w:p w:rsidR="00790AD0" w:rsidRDefault="00790AD0" w:rsidP="004B626C">
      <w:pPr>
        <w:pStyle w:val="ConsPlusNormal"/>
        <w:spacing w:line="276" w:lineRule="auto"/>
        <w:ind w:firstLine="540"/>
        <w:jc w:val="both"/>
      </w:pPr>
      <w:r>
        <w:t>9.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объектах.</w:t>
      </w:r>
    </w:p>
    <w:p w:rsidR="00790AD0" w:rsidRDefault="00790AD0" w:rsidP="004B626C">
      <w:pPr>
        <w:pStyle w:val="ConsPlusNormal"/>
        <w:spacing w:line="276" w:lineRule="auto"/>
        <w:ind w:firstLine="540"/>
        <w:jc w:val="both"/>
      </w:pPr>
      <w:r>
        <w:t>10.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790AD0" w:rsidRDefault="00790AD0" w:rsidP="004B626C">
      <w:pPr>
        <w:pStyle w:val="ConsPlusNormal"/>
        <w:spacing w:line="276" w:lineRule="auto"/>
        <w:ind w:firstLine="540"/>
        <w:jc w:val="both"/>
      </w:pPr>
      <w:r>
        <w:t>11. Граждане, занимающиеся народными художественными промыслами и народными ремеслами в местах традиционного бытования малочисленных народов Севера и этнических групп и являющиеся мастерами народного художественного промысла.</w:t>
      </w:r>
    </w:p>
    <w:p w:rsidR="00790AD0" w:rsidRDefault="00790AD0" w:rsidP="004B626C">
      <w:pPr>
        <w:pStyle w:val="ConsPlusNormal"/>
        <w:spacing w:line="276" w:lineRule="auto"/>
        <w:ind w:firstLine="540"/>
        <w:jc w:val="both"/>
      </w:pPr>
      <w:r>
        <w:t>12. Военнослужащие: граждане, уволенные с военной службы по достижении предельного возраста пребывания на военной службе, по состоянию здоровья или в связи с организационно-штатными мероприятиями и имеющие общую продолжительность военной службы двадцать лет и более; члены семей военнослужащих и сотрудников органов внутренних дел, сотрудников учреждений и органов уголовно-исполнительной системы, потерявших кормильца при исполнении ими служебных обязанностей.</w:t>
      </w:r>
    </w:p>
    <w:p w:rsidR="0086283B" w:rsidRPr="0086283B" w:rsidRDefault="0086283B" w:rsidP="004B626C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trike/>
          <w:sz w:val="28"/>
          <w:szCs w:val="28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541"/>
        <w:gridCol w:w="3092"/>
        <w:gridCol w:w="1276"/>
        <w:gridCol w:w="1040"/>
        <w:gridCol w:w="1075"/>
        <w:gridCol w:w="945"/>
        <w:gridCol w:w="2232"/>
      </w:tblGrid>
      <w:tr w:rsidR="006C0835" w:rsidRPr="00BB102D" w:rsidTr="006C0835">
        <w:trPr>
          <w:trHeight w:val="88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35" w:rsidRPr="00BB102D" w:rsidRDefault="006C0835" w:rsidP="00BB102D">
            <w:pPr>
              <w:jc w:val="center"/>
              <w:rPr>
                <w:color w:val="000000"/>
              </w:rPr>
            </w:pPr>
            <w:r w:rsidRPr="00BB102D">
              <w:rPr>
                <w:color w:val="000000"/>
              </w:rPr>
              <w:t>№ п/п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35" w:rsidRPr="00BB102D" w:rsidRDefault="006C0835" w:rsidP="00BB10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02D">
              <w:rPr>
                <w:b/>
                <w:bCs/>
                <w:color w:val="000000"/>
                <w:sz w:val="20"/>
                <w:szCs w:val="20"/>
              </w:rPr>
              <w:t>Категории налогоплательщиков, которым предоставлена льгота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35" w:rsidRPr="00BB102D" w:rsidRDefault="006C0835" w:rsidP="00BB10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02D">
              <w:rPr>
                <w:b/>
                <w:bCs/>
                <w:color w:val="000000"/>
                <w:sz w:val="20"/>
                <w:szCs w:val="20"/>
              </w:rPr>
              <w:t>Количество налогоплательщиков, пользующихся налоговой льготой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35" w:rsidRPr="00BB102D" w:rsidRDefault="006C0835" w:rsidP="00BB10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02D">
              <w:rPr>
                <w:b/>
                <w:bCs/>
                <w:color w:val="000000"/>
                <w:sz w:val="20"/>
                <w:szCs w:val="20"/>
              </w:rPr>
              <w:t>Сумма предоставленных льгот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C0835" w:rsidRPr="00BB102D" w:rsidRDefault="006C0835" w:rsidP="00BB10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Темп роста/снижения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C0835" w:rsidRPr="00BB102D" w:rsidRDefault="006C0835" w:rsidP="00BB10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Пояснение</w:t>
            </w:r>
          </w:p>
        </w:tc>
      </w:tr>
      <w:tr w:rsidR="006C0835" w:rsidRPr="00BB102D" w:rsidTr="006C0835">
        <w:trPr>
          <w:trHeight w:val="7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835" w:rsidRPr="00BB102D" w:rsidRDefault="006C0835" w:rsidP="00BB102D">
            <w:pPr>
              <w:rPr>
                <w:color w:val="000000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835" w:rsidRPr="00BB102D" w:rsidRDefault="006C0835" w:rsidP="00BB102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835" w:rsidRPr="00BB102D" w:rsidRDefault="006C0835" w:rsidP="00BB102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35" w:rsidRPr="00BB102D" w:rsidRDefault="006C0835" w:rsidP="00403C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02D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403C1D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BB102D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35" w:rsidRPr="00BB102D" w:rsidRDefault="006C0835" w:rsidP="00403C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02D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403C1D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BB102D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835" w:rsidRPr="00BB102D" w:rsidRDefault="006C0835" w:rsidP="00BB10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835" w:rsidRPr="00BB102D" w:rsidRDefault="006C0835" w:rsidP="00BB10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C0835" w:rsidRPr="00BB102D" w:rsidTr="00E16A8F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35" w:rsidRPr="00BB102D" w:rsidRDefault="006C0835" w:rsidP="00BB102D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35" w:rsidRPr="00BB102D" w:rsidRDefault="006C0835" w:rsidP="00BB102D">
            <w:pPr>
              <w:jc w:val="center"/>
              <w:rPr>
                <w:color w:val="000000"/>
                <w:sz w:val="16"/>
                <w:szCs w:val="16"/>
              </w:rPr>
            </w:pPr>
            <w:r w:rsidRPr="00BB102D">
              <w:rPr>
                <w:color w:val="000000"/>
                <w:sz w:val="16"/>
                <w:szCs w:val="16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35" w:rsidRPr="00BB102D" w:rsidRDefault="006C0835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35" w:rsidRPr="00BB102D" w:rsidRDefault="006C0835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35" w:rsidRPr="00BB102D" w:rsidRDefault="006C0835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835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6C0835" w:rsidRPr="00BB102D" w:rsidRDefault="006C0835" w:rsidP="00E16A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835" w:rsidRPr="00BB102D" w:rsidRDefault="006C0835" w:rsidP="00BB10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C0835" w:rsidRPr="00BB102D" w:rsidTr="00E16A8F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35" w:rsidRPr="00BB102D" w:rsidRDefault="006C0835" w:rsidP="00BB102D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35" w:rsidRPr="00BB102D" w:rsidRDefault="006C0835" w:rsidP="00BB102D">
            <w:pPr>
              <w:jc w:val="center"/>
              <w:rPr>
                <w:color w:val="000000"/>
                <w:sz w:val="16"/>
                <w:szCs w:val="16"/>
              </w:rPr>
            </w:pPr>
            <w:r w:rsidRPr="00BB102D">
              <w:rPr>
                <w:color w:val="000000"/>
                <w:sz w:val="16"/>
                <w:szCs w:val="16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35" w:rsidRPr="00BB102D" w:rsidRDefault="006C0835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35" w:rsidRPr="00BB102D" w:rsidRDefault="006C0835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35" w:rsidRPr="00BB102D" w:rsidRDefault="006C0835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835" w:rsidRPr="00BB102D" w:rsidRDefault="006C0835" w:rsidP="00E16A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835" w:rsidRPr="00BB102D" w:rsidRDefault="006C0835" w:rsidP="00BB10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C0835" w:rsidRPr="00BB102D" w:rsidTr="00E16A8F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35" w:rsidRPr="00BB102D" w:rsidRDefault="006C0835" w:rsidP="00BB102D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35" w:rsidRPr="00BB102D" w:rsidRDefault="006C0835" w:rsidP="00BB102D">
            <w:pPr>
              <w:jc w:val="center"/>
              <w:rPr>
                <w:color w:val="000000"/>
                <w:sz w:val="16"/>
                <w:szCs w:val="16"/>
              </w:rPr>
            </w:pPr>
            <w:r w:rsidRPr="00BB102D">
              <w:rPr>
                <w:color w:val="000000"/>
                <w:sz w:val="16"/>
                <w:szCs w:val="16"/>
              </w:rPr>
              <w:t>Неработающие пенсионеры в отношении одного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35" w:rsidRPr="00BB102D" w:rsidRDefault="006C0835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35" w:rsidRPr="00BB102D" w:rsidRDefault="00512A61" w:rsidP="00E16A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835" w:rsidRPr="00BB102D" w:rsidRDefault="00512A61" w:rsidP="00E16A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</w:t>
            </w:r>
            <w:r w:rsidR="00E16A8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835" w:rsidRPr="00BB102D" w:rsidRDefault="00512A61" w:rsidP="00E16A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835" w:rsidRPr="00BB102D" w:rsidRDefault="00512A61" w:rsidP="00512A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связи с увеличением количества налогоплательщиков, предъявивших </w:t>
            </w:r>
            <w:r>
              <w:rPr>
                <w:color w:val="000000"/>
                <w:sz w:val="22"/>
                <w:szCs w:val="22"/>
              </w:rPr>
              <w:lastRenderedPageBreak/>
              <w:t>заявление на предоставление льготы</w:t>
            </w:r>
          </w:p>
        </w:tc>
      </w:tr>
      <w:tr w:rsidR="00E16A8F" w:rsidRPr="00BB102D" w:rsidTr="00E16A8F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A8F" w:rsidRPr="00BB102D" w:rsidRDefault="00E16A8F" w:rsidP="00E16A8F">
            <w:pPr>
              <w:jc w:val="center"/>
              <w:rPr>
                <w:color w:val="000000"/>
                <w:sz w:val="16"/>
                <w:szCs w:val="16"/>
              </w:rPr>
            </w:pPr>
            <w:r w:rsidRPr="00BB102D">
              <w:rPr>
                <w:color w:val="000000"/>
                <w:sz w:val="16"/>
                <w:szCs w:val="16"/>
              </w:rPr>
              <w:t>Многодетные семьи, имеющие на иждивении 3-х и более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6A8F" w:rsidRPr="00BB102D" w:rsidTr="00E16A8F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A8F" w:rsidRPr="00BB102D" w:rsidRDefault="00E16A8F" w:rsidP="00E16A8F">
            <w:pPr>
              <w:jc w:val="center"/>
              <w:rPr>
                <w:color w:val="000000"/>
                <w:sz w:val="16"/>
                <w:szCs w:val="16"/>
              </w:rPr>
            </w:pPr>
            <w:r w:rsidRPr="00BB102D">
              <w:rPr>
                <w:color w:val="000000"/>
                <w:sz w:val="16"/>
                <w:szCs w:val="16"/>
              </w:rPr>
              <w:t>Инвалиды I, II групп, а также инвалиды детства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6A8F" w:rsidRPr="00BB102D" w:rsidTr="00E16A8F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A8F" w:rsidRPr="00BB102D" w:rsidRDefault="00E16A8F" w:rsidP="00E16A8F">
            <w:pPr>
              <w:jc w:val="center"/>
              <w:rPr>
                <w:color w:val="000000"/>
                <w:sz w:val="16"/>
                <w:szCs w:val="16"/>
              </w:rPr>
            </w:pPr>
            <w:r w:rsidRPr="00BB102D">
              <w:rPr>
                <w:color w:val="000000"/>
                <w:sz w:val="16"/>
                <w:szCs w:val="16"/>
              </w:rPr>
              <w:t>Неработающие инвалиды III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6A8F" w:rsidRPr="00BB102D" w:rsidTr="00E16A8F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A8F" w:rsidRPr="00BB102D" w:rsidRDefault="00E16A8F" w:rsidP="00E16A8F">
            <w:pPr>
              <w:jc w:val="center"/>
              <w:rPr>
                <w:color w:val="000000"/>
                <w:sz w:val="16"/>
                <w:szCs w:val="16"/>
              </w:rPr>
            </w:pPr>
            <w:r w:rsidRPr="00BB102D">
              <w:rPr>
                <w:color w:val="000000"/>
                <w:sz w:val="16"/>
                <w:szCs w:val="16"/>
              </w:rPr>
              <w:t>Граждане, получившие для сельскохозяйственных нужд нарушенные земли (требующие рекультивации) на первые 10 лет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6A8F" w:rsidRPr="00BB102D" w:rsidTr="00E16A8F">
        <w:trPr>
          <w:trHeight w:val="18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A8F" w:rsidRPr="00BB102D" w:rsidRDefault="00E16A8F" w:rsidP="00E16A8F">
            <w:pPr>
              <w:jc w:val="center"/>
              <w:rPr>
                <w:color w:val="000000"/>
                <w:sz w:val="14"/>
                <w:szCs w:val="14"/>
              </w:rPr>
            </w:pPr>
            <w:r w:rsidRPr="00BB102D">
              <w:rPr>
                <w:color w:val="000000"/>
                <w:sz w:val="14"/>
                <w:szCs w:val="14"/>
              </w:rPr>
              <w:t xml:space="preserve">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18.06.1992 N 3061-1), в соответствии с Федеральным законом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BB102D">
              <w:rPr>
                <w:color w:val="000000"/>
                <w:sz w:val="14"/>
                <w:szCs w:val="14"/>
              </w:rPr>
              <w:t>Теча</w:t>
            </w:r>
            <w:proofErr w:type="spellEnd"/>
            <w:r w:rsidRPr="00BB102D">
              <w:rPr>
                <w:color w:val="000000"/>
                <w:sz w:val="14"/>
                <w:szCs w:val="14"/>
              </w:rPr>
              <w:t>" и в соответствии с Федеральным законом от 10.01.2002 N 2-ФЗ "О социальных гарантиях гражданам Российской Федерации,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6A8F" w:rsidRPr="00BB102D" w:rsidTr="00E16A8F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A8F" w:rsidRPr="00BB102D" w:rsidRDefault="00E16A8F" w:rsidP="00E16A8F">
            <w:pPr>
              <w:jc w:val="center"/>
              <w:rPr>
                <w:color w:val="000000"/>
                <w:sz w:val="14"/>
                <w:szCs w:val="14"/>
              </w:rPr>
            </w:pPr>
            <w:r w:rsidRPr="00BB102D">
              <w:rPr>
                <w:color w:val="000000"/>
                <w:sz w:val="14"/>
                <w:szCs w:val="14"/>
              </w:rPr>
              <w:t>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6A8F" w:rsidRPr="00BB102D" w:rsidTr="00E16A8F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A8F" w:rsidRPr="00BB102D" w:rsidRDefault="00E16A8F" w:rsidP="00E16A8F">
            <w:pPr>
              <w:jc w:val="center"/>
              <w:rPr>
                <w:color w:val="000000"/>
                <w:sz w:val="14"/>
                <w:szCs w:val="14"/>
              </w:rPr>
            </w:pPr>
            <w:r w:rsidRPr="00BB102D">
              <w:rPr>
                <w:color w:val="000000"/>
                <w:sz w:val="14"/>
                <w:szCs w:val="14"/>
              </w:rPr>
              <w:t>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6A8F" w:rsidRPr="00BB102D" w:rsidTr="00E16A8F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A8F" w:rsidRPr="00BB102D" w:rsidRDefault="00E16A8F" w:rsidP="00E16A8F">
            <w:pPr>
              <w:jc w:val="center"/>
              <w:rPr>
                <w:color w:val="000000"/>
                <w:sz w:val="14"/>
                <w:szCs w:val="14"/>
              </w:rPr>
            </w:pPr>
            <w:r w:rsidRPr="00BB102D">
              <w:rPr>
                <w:color w:val="000000"/>
                <w:sz w:val="14"/>
                <w:szCs w:val="14"/>
              </w:rPr>
              <w:t>Граждане, занимающиеся народными художественными промыслами и народными ремеслами в местах традиционного бытования малочисленных народов Севера и этнических групп и являющиеся мастерами народного художественного промысла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6A8F" w:rsidRPr="00BB102D" w:rsidTr="00E16A8F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A8F" w:rsidRPr="00BB102D" w:rsidRDefault="00E16A8F" w:rsidP="00E16A8F">
            <w:pPr>
              <w:jc w:val="center"/>
              <w:rPr>
                <w:color w:val="000000"/>
                <w:sz w:val="14"/>
                <w:szCs w:val="14"/>
              </w:rPr>
            </w:pPr>
            <w:r w:rsidRPr="00BB102D">
              <w:rPr>
                <w:color w:val="000000"/>
                <w:sz w:val="14"/>
                <w:szCs w:val="14"/>
              </w:rPr>
              <w:t>Военнослужащие: граждане, уволенные с военной службы по достижении предельного возраста пребывания на военной службе, по состоянию здоровья или в связи с организационно-штатными мероприятиями и имеющие общую продолжительность военной службы двадцать лет и более; члены семей военнослужащих и сотрудников органов внутренних дел, сотрудников учреждений и органов уголовно-исполнительной системы, потерявших кормильца при исполнении ими служебных обязанностей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  <w:r w:rsidRPr="00BB10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A8F" w:rsidRPr="00BB102D" w:rsidRDefault="00E16A8F" w:rsidP="00E16A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B102D" w:rsidRPr="00A677AB" w:rsidRDefault="00BB102D" w:rsidP="00BB102D">
      <w:pPr>
        <w:autoSpaceDE w:val="0"/>
        <w:autoSpaceDN w:val="0"/>
        <w:adjustRightInd w:val="0"/>
        <w:spacing w:line="276" w:lineRule="auto"/>
        <w:jc w:val="both"/>
        <w:outlineLvl w:val="1"/>
        <w:rPr>
          <w:sz w:val="28"/>
          <w:szCs w:val="28"/>
        </w:rPr>
      </w:pPr>
    </w:p>
    <w:p w:rsidR="00DA2D42" w:rsidRDefault="00DA2D42" w:rsidP="004B626C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677AB">
        <w:rPr>
          <w:sz w:val="28"/>
          <w:szCs w:val="28"/>
        </w:rPr>
        <w:t xml:space="preserve">Сумма предоставленных </w:t>
      </w:r>
      <w:r w:rsidRPr="00790AD0">
        <w:rPr>
          <w:sz w:val="28"/>
          <w:szCs w:val="28"/>
        </w:rPr>
        <w:t>физическим лицам</w:t>
      </w:r>
      <w:r w:rsidR="00BB102D">
        <w:rPr>
          <w:sz w:val="28"/>
          <w:szCs w:val="28"/>
        </w:rPr>
        <w:t xml:space="preserve"> налоговых льгот </w:t>
      </w:r>
      <w:r w:rsidRPr="00A677AB">
        <w:rPr>
          <w:sz w:val="28"/>
          <w:szCs w:val="28"/>
        </w:rPr>
        <w:t xml:space="preserve">по земельному налогу, установленных нормативным правовым актом представительного органа </w:t>
      </w:r>
      <w:r w:rsidR="00790AD0">
        <w:rPr>
          <w:sz w:val="28"/>
          <w:szCs w:val="28"/>
        </w:rPr>
        <w:t>Нижневартовского района</w:t>
      </w:r>
      <w:r w:rsidRPr="00A677AB">
        <w:rPr>
          <w:sz w:val="28"/>
          <w:szCs w:val="28"/>
        </w:rPr>
        <w:t xml:space="preserve"> </w:t>
      </w:r>
      <w:r>
        <w:rPr>
          <w:sz w:val="28"/>
          <w:szCs w:val="28"/>
        </w:rPr>
        <w:t>в 201</w:t>
      </w:r>
      <w:r w:rsidR="00512A61">
        <w:rPr>
          <w:sz w:val="28"/>
          <w:szCs w:val="28"/>
        </w:rPr>
        <w:t>7</w:t>
      </w:r>
      <w:r>
        <w:rPr>
          <w:sz w:val="28"/>
          <w:szCs w:val="28"/>
        </w:rPr>
        <w:t xml:space="preserve"> году </w:t>
      </w:r>
      <w:r w:rsidRPr="00A677AB">
        <w:rPr>
          <w:sz w:val="28"/>
          <w:szCs w:val="28"/>
        </w:rPr>
        <w:t xml:space="preserve">составила </w:t>
      </w:r>
      <w:r w:rsidR="00512A61">
        <w:rPr>
          <w:sz w:val="28"/>
          <w:szCs w:val="28"/>
        </w:rPr>
        <w:t>78</w:t>
      </w:r>
      <w:r w:rsidRPr="00A677AB">
        <w:rPr>
          <w:sz w:val="28"/>
          <w:szCs w:val="28"/>
        </w:rPr>
        <w:t xml:space="preserve"> </w:t>
      </w:r>
      <w:r w:rsidR="002370B8">
        <w:rPr>
          <w:sz w:val="28"/>
          <w:szCs w:val="28"/>
        </w:rPr>
        <w:t xml:space="preserve">тыс. </w:t>
      </w:r>
      <w:r w:rsidRPr="00A677AB">
        <w:rPr>
          <w:sz w:val="28"/>
          <w:szCs w:val="28"/>
        </w:rPr>
        <w:t xml:space="preserve">рублей. Количество налогоплательщиков </w:t>
      </w:r>
      <w:r>
        <w:rPr>
          <w:sz w:val="28"/>
          <w:szCs w:val="28"/>
        </w:rPr>
        <w:t>земельного налога</w:t>
      </w:r>
      <w:r w:rsidRPr="00A677AB">
        <w:rPr>
          <w:sz w:val="28"/>
          <w:szCs w:val="28"/>
        </w:rPr>
        <w:t xml:space="preserve">, учтенных в базе данных налогового органа </w:t>
      </w:r>
      <w:r w:rsidR="00BE5B2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12A61">
        <w:rPr>
          <w:sz w:val="28"/>
          <w:szCs w:val="28"/>
        </w:rPr>
        <w:t>3 706</w:t>
      </w:r>
      <w:r w:rsidR="00BE5B23">
        <w:rPr>
          <w:sz w:val="28"/>
          <w:szCs w:val="28"/>
        </w:rPr>
        <w:t xml:space="preserve">, из них которым предоставлены налоговые льготы, установленные нормативными правовыми актами представительных органов муниципальных образований – </w:t>
      </w:r>
      <w:r w:rsidR="00512A61">
        <w:rPr>
          <w:sz w:val="28"/>
          <w:szCs w:val="28"/>
        </w:rPr>
        <w:t>258</w:t>
      </w:r>
      <w:r w:rsidR="00BE5B23">
        <w:rPr>
          <w:sz w:val="28"/>
          <w:szCs w:val="28"/>
        </w:rPr>
        <w:t>.</w:t>
      </w:r>
    </w:p>
    <w:p w:rsidR="00BB102D" w:rsidRDefault="00BB102D" w:rsidP="004B626C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BB102D" w:rsidRDefault="00E16A8F" w:rsidP="004B626C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льгот:</w:t>
      </w:r>
    </w:p>
    <w:p w:rsidR="00BB102D" w:rsidRDefault="00BB102D" w:rsidP="004B626C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960"/>
        <w:gridCol w:w="2437"/>
        <w:gridCol w:w="1062"/>
        <w:gridCol w:w="1206"/>
        <w:gridCol w:w="1134"/>
        <w:gridCol w:w="1276"/>
        <w:gridCol w:w="2126"/>
      </w:tblGrid>
      <w:tr w:rsidR="00243219" w:rsidRPr="00243219" w:rsidTr="00BB102D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19" w:rsidRPr="00243219" w:rsidRDefault="00243219" w:rsidP="00243219">
            <w:pPr>
              <w:jc w:val="center"/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19" w:rsidRPr="00243219" w:rsidRDefault="00243219" w:rsidP="00243219">
            <w:pPr>
              <w:jc w:val="center"/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Наименование</w:t>
            </w:r>
            <w:r w:rsidRPr="00243219">
              <w:rPr>
                <w:color w:val="000000"/>
                <w:sz w:val="20"/>
                <w:szCs w:val="20"/>
              </w:rPr>
              <w:br/>
              <w:t>показателя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19" w:rsidRPr="00243219" w:rsidRDefault="00243219" w:rsidP="0024321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3219">
              <w:rPr>
                <w:color w:val="000000"/>
                <w:sz w:val="20"/>
                <w:szCs w:val="20"/>
              </w:rPr>
              <w:t>Ед.изм</w:t>
            </w:r>
            <w:proofErr w:type="spellEnd"/>
            <w:r w:rsidRPr="0024321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19" w:rsidRPr="00243219" w:rsidRDefault="00243219" w:rsidP="00403C1D">
            <w:pPr>
              <w:jc w:val="center"/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201</w:t>
            </w:r>
            <w:r w:rsidR="00403C1D">
              <w:rPr>
                <w:color w:val="000000"/>
                <w:sz w:val="20"/>
                <w:szCs w:val="20"/>
              </w:rPr>
              <w:t>6</w:t>
            </w:r>
            <w:r w:rsidRPr="00243219">
              <w:rPr>
                <w:color w:val="000000"/>
                <w:sz w:val="20"/>
                <w:szCs w:val="20"/>
              </w:rPr>
              <w:t xml:space="preserve"> год</w:t>
            </w:r>
            <w:r w:rsidRPr="00243219">
              <w:rPr>
                <w:color w:val="000000"/>
                <w:sz w:val="20"/>
                <w:szCs w:val="20"/>
              </w:rPr>
              <w:br/>
              <w:t xml:space="preserve">(отчет)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219" w:rsidRPr="00243219" w:rsidRDefault="00243219" w:rsidP="00403C1D">
            <w:pPr>
              <w:jc w:val="center"/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201</w:t>
            </w:r>
            <w:r w:rsidR="00403C1D">
              <w:rPr>
                <w:color w:val="000000"/>
                <w:sz w:val="20"/>
                <w:szCs w:val="20"/>
              </w:rPr>
              <w:t>7</w:t>
            </w:r>
            <w:r w:rsidRPr="00243219">
              <w:rPr>
                <w:color w:val="000000"/>
                <w:sz w:val="20"/>
                <w:szCs w:val="20"/>
              </w:rPr>
              <w:t xml:space="preserve"> год</w:t>
            </w:r>
            <w:r w:rsidRPr="00243219">
              <w:rPr>
                <w:color w:val="000000"/>
                <w:sz w:val="20"/>
                <w:szCs w:val="20"/>
              </w:rPr>
              <w:br/>
              <w:t xml:space="preserve">(отчет)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19" w:rsidRPr="00243219" w:rsidRDefault="00243219" w:rsidP="00243219">
            <w:pPr>
              <w:jc w:val="center"/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 xml:space="preserve">Коэффициент </w:t>
            </w:r>
            <w:r w:rsidR="00BB102D" w:rsidRPr="00243219">
              <w:rPr>
                <w:color w:val="000000"/>
                <w:sz w:val="20"/>
                <w:szCs w:val="20"/>
              </w:rPr>
              <w:t>эффективности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19" w:rsidRPr="00243219" w:rsidRDefault="00243219" w:rsidP="00243219">
            <w:pPr>
              <w:jc w:val="center"/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 xml:space="preserve">Предельное значение коэффициентов </w:t>
            </w:r>
            <w:r w:rsidR="00BB102D" w:rsidRPr="00243219">
              <w:rPr>
                <w:color w:val="000000"/>
                <w:sz w:val="20"/>
                <w:szCs w:val="20"/>
              </w:rPr>
              <w:t>эффективности</w:t>
            </w:r>
          </w:p>
        </w:tc>
      </w:tr>
      <w:tr w:rsidR="00243219" w:rsidRPr="00243219" w:rsidTr="00512A61">
        <w:trPr>
          <w:trHeight w:val="78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19" w:rsidRPr="00243219" w:rsidRDefault="00243219" w:rsidP="002432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19" w:rsidRPr="00243219" w:rsidRDefault="00243219" w:rsidP="002432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19" w:rsidRPr="00243219" w:rsidRDefault="00243219" w:rsidP="002432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19" w:rsidRPr="00243219" w:rsidRDefault="00243219" w:rsidP="002432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19" w:rsidRPr="00243219" w:rsidRDefault="00243219" w:rsidP="002432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19" w:rsidRPr="00243219" w:rsidRDefault="00243219" w:rsidP="002432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19" w:rsidRPr="00243219" w:rsidRDefault="00243219" w:rsidP="00243219">
            <w:pPr>
              <w:rPr>
                <w:color w:val="000000"/>
                <w:sz w:val="20"/>
                <w:szCs w:val="20"/>
              </w:rPr>
            </w:pPr>
          </w:p>
        </w:tc>
      </w:tr>
      <w:tr w:rsidR="00243219" w:rsidRPr="00243219" w:rsidTr="00512A61">
        <w:trPr>
          <w:trHeight w:val="55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219" w:rsidRPr="00243219" w:rsidRDefault="00243219" w:rsidP="002432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3219">
              <w:rPr>
                <w:b/>
                <w:bCs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219" w:rsidRPr="00243219" w:rsidRDefault="00243219" w:rsidP="00243219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243219">
              <w:rPr>
                <w:b/>
                <w:bCs/>
                <w:color w:val="000000"/>
                <w:sz w:val="20"/>
                <w:szCs w:val="20"/>
                <w:u w:val="single"/>
              </w:rPr>
              <w:t>Бюджетная эффективность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19" w:rsidRPr="00243219" w:rsidRDefault="00243219" w:rsidP="00243219">
            <w:pPr>
              <w:jc w:val="center"/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3219" w:rsidRPr="00243219" w:rsidRDefault="00243219" w:rsidP="00243219">
            <w:pPr>
              <w:jc w:val="center"/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3219" w:rsidRPr="00243219" w:rsidRDefault="00243219" w:rsidP="00243219">
            <w:pPr>
              <w:jc w:val="center"/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19" w:rsidRPr="00243219" w:rsidRDefault="00243219" w:rsidP="00243219">
            <w:pPr>
              <w:jc w:val="center"/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19" w:rsidRPr="00243219" w:rsidRDefault="00243219" w:rsidP="002432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3219">
              <w:rPr>
                <w:b/>
                <w:bCs/>
                <w:color w:val="000000"/>
                <w:sz w:val="20"/>
                <w:szCs w:val="20"/>
              </w:rPr>
              <w:t>&gt; 1,0</w:t>
            </w:r>
          </w:p>
        </w:tc>
      </w:tr>
      <w:tr w:rsidR="00512A61" w:rsidRPr="00243219" w:rsidTr="00BB102D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A61" w:rsidRPr="00243219" w:rsidRDefault="00512A61" w:rsidP="00512A61">
            <w:pPr>
              <w:jc w:val="center"/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A61" w:rsidRPr="00243219" w:rsidRDefault="00512A61" w:rsidP="00512A61">
            <w:pPr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Налоговая база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A61" w:rsidRPr="00243219" w:rsidRDefault="00512A61" w:rsidP="00512A61">
            <w:pPr>
              <w:jc w:val="center"/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243219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243219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2A61" w:rsidRPr="00243219" w:rsidRDefault="00512A61" w:rsidP="00512A61">
            <w:pPr>
              <w:jc w:val="right"/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664 835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2A61" w:rsidRPr="00512A61" w:rsidRDefault="00512A61" w:rsidP="00512A61">
            <w:pPr>
              <w:jc w:val="right"/>
              <w:rPr>
                <w:color w:val="000000"/>
                <w:sz w:val="20"/>
                <w:szCs w:val="20"/>
              </w:rPr>
            </w:pPr>
            <w:r w:rsidRPr="00512A61">
              <w:rPr>
                <w:color w:val="000000"/>
                <w:sz w:val="20"/>
                <w:szCs w:val="20"/>
              </w:rPr>
              <w:t>767 885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2A61" w:rsidRPr="00243219" w:rsidRDefault="00512A61" w:rsidP="00512A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A61" w:rsidRPr="00243219" w:rsidRDefault="00512A61" w:rsidP="00512A61">
            <w:pPr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Эффект достигнут</w:t>
            </w:r>
          </w:p>
        </w:tc>
      </w:tr>
      <w:tr w:rsidR="00512A61" w:rsidRPr="00243219" w:rsidTr="00BB102D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A61" w:rsidRPr="00243219" w:rsidRDefault="00512A61" w:rsidP="00512A61">
            <w:pPr>
              <w:jc w:val="center"/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A61" w:rsidRPr="00243219" w:rsidRDefault="00512A61" w:rsidP="00512A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исчисленного н</w:t>
            </w:r>
            <w:r w:rsidRPr="00243219">
              <w:rPr>
                <w:color w:val="000000"/>
                <w:sz w:val="20"/>
                <w:szCs w:val="20"/>
              </w:rPr>
              <w:t>алога,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43219">
              <w:rPr>
                <w:color w:val="000000"/>
                <w:sz w:val="20"/>
                <w:szCs w:val="20"/>
              </w:rPr>
              <w:t>подлежащего уплате в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A61" w:rsidRPr="00243219" w:rsidRDefault="00512A61" w:rsidP="00512A61">
            <w:pPr>
              <w:jc w:val="center"/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243219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243219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2A61" w:rsidRPr="00243219" w:rsidRDefault="00512A61" w:rsidP="00512A61">
            <w:pPr>
              <w:jc w:val="right"/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1 988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2A61" w:rsidRPr="00512A61" w:rsidRDefault="00512A61" w:rsidP="00512A61">
            <w:pPr>
              <w:jc w:val="right"/>
              <w:rPr>
                <w:color w:val="000000"/>
                <w:sz w:val="20"/>
                <w:szCs w:val="20"/>
              </w:rPr>
            </w:pPr>
            <w:r w:rsidRPr="00512A61">
              <w:rPr>
                <w:color w:val="000000"/>
                <w:sz w:val="20"/>
                <w:szCs w:val="20"/>
              </w:rPr>
              <w:t>2 420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2A61" w:rsidRPr="00243219" w:rsidRDefault="00512A61" w:rsidP="00512A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A61" w:rsidRPr="00243219" w:rsidRDefault="00512A61" w:rsidP="00512A61">
            <w:pPr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2A61" w:rsidRPr="00243219" w:rsidTr="00BB102D">
        <w:trPr>
          <w:trHeight w:val="4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A61" w:rsidRPr="00243219" w:rsidRDefault="00512A61" w:rsidP="00512A61">
            <w:pPr>
              <w:jc w:val="center"/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A61" w:rsidRPr="00243219" w:rsidRDefault="00512A61" w:rsidP="00512A61">
            <w:pPr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Сумма предоставленных налоговых льгот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A61" w:rsidRPr="00243219" w:rsidRDefault="00512A61" w:rsidP="00512A61">
            <w:pPr>
              <w:jc w:val="center"/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243219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243219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2A61" w:rsidRPr="00243219" w:rsidRDefault="00512A61" w:rsidP="00512A61">
            <w:pPr>
              <w:jc w:val="right"/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2A61" w:rsidRPr="00512A61" w:rsidRDefault="00512A61" w:rsidP="00512A61">
            <w:pPr>
              <w:jc w:val="right"/>
              <w:rPr>
                <w:color w:val="000000"/>
                <w:sz w:val="20"/>
                <w:szCs w:val="20"/>
              </w:rPr>
            </w:pPr>
            <w:r w:rsidRPr="00512A61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2A61" w:rsidRPr="00243219" w:rsidRDefault="00512A61" w:rsidP="00512A6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A61" w:rsidRPr="00243219" w:rsidRDefault="00512A61" w:rsidP="00512A61">
            <w:pPr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2A61" w:rsidRPr="00243219" w:rsidTr="00BB102D">
        <w:trPr>
          <w:trHeight w:val="5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A61" w:rsidRPr="00243219" w:rsidRDefault="00512A61" w:rsidP="00512A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3219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A61" w:rsidRPr="00243219" w:rsidRDefault="00512A61" w:rsidP="00512A61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243219">
              <w:rPr>
                <w:b/>
                <w:bCs/>
                <w:color w:val="000000"/>
                <w:sz w:val="20"/>
                <w:szCs w:val="20"/>
                <w:u w:val="single"/>
              </w:rPr>
              <w:t>Социальная эффективность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A61" w:rsidRPr="00243219" w:rsidRDefault="00512A61" w:rsidP="00512A61">
            <w:pPr>
              <w:jc w:val="center"/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A61" w:rsidRPr="00243219" w:rsidRDefault="00512A61" w:rsidP="00512A61">
            <w:pPr>
              <w:jc w:val="center"/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A61" w:rsidRPr="00512A61" w:rsidRDefault="00512A61" w:rsidP="00512A61">
            <w:pPr>
              <w:jc w:val="center"/>
              <w:rPr>
                <w:color w:val="000000"/>
                <w:sz w:val="20"/>
                <w:szCs w:val="20"/>
              </w:rPr>
            </w:pPr>
            <w:r w:rsidRPr="00512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A61" w:rsidRPr="00243219" w:rsidRDefault="00512A61" w:rsidP="00512A61">
            <w:pPr>
              <w:jc w:val="center"/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61" w:rsidRPr="00243219" w:rsidRDefault="00512A61" w:rsidP="00512A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3219">
              <w:rPr>
                <w:bCs/>
                <w:color w:val="000000"/>
                <w:sz w:val="20"/>
                <w:szCs w:val="20"/>
              </w:rPr>
              <w:t xml:space="preserve">сумма </w:t>
            </w:r>
            <w:r w:rsidRPr="00BB102D">
              <w:rPr>
                <w:bCs/>
                <w:color w:val="000000"/>
                <w:sz w:val="20"/>
                <w:szCs w:val="20"/>
              </w:rPr>
              <w:t>предоставленных</w:t>
            </w:r>
            <w:r w:rsidRPr="00243219">
              <w:rPr>
                <w:bCs/>
                <w:color w:val="000000"/>
                <w:sz w:val="20"/>
                <w:szCs w:val="20"/>
              </w:rPr>
              <w:t xml:space="preserve"> налоговых льгот</w:t>
            </w:r>
          </w:p>
        </w:tc>
      </w:tr>
      <w:tr w:rsidR="00512A61" w:rsidRPr="00243219" w:rsidTr="00BB102D">
        <w:trPr>
          <w:trHeight w:val="5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A61" w:rsidRPr="00243219" w:rsidRDefault="00512A61" w:rsidP="00512A61">
            <w:pPr>
              <w:jc w:val="center"/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A61" w:rsidRPr="00243219" w:rsidRDefault="00512A61" w:rsidP="00512A61">
            <w:pPr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Сумма предоставленных налоговых льгот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A61" w:rsidRPr="00243219" w:rsidRDefault="00512A61" w:rsidP="00512A61">
            <w:pPr>
              <w:jc w:val="center"/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243219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243219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2A61" w:rsidRPr="00243219" w:rsidRDefault="00512A61" w:rsidP="00512A61">
            <w:pPr>
              <w:jc w:val="right"/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2A61" w:rsidRPr="00512A61" w:rsidRDefault="00512A61" w:rsidP="00512A61">
            <w:pPr>
              <w:jc w:val="right"/>
              <w:rPr>
                <w:color w:val="000000"/>
                <w:sz w:val="20"/>
                <w:szCs w:val="20"/>
              </w:rPr>
            </w:pPr>
            <w:r w:rsidRPr="00512A61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2A61" w:rsidRPr="00243219" w:rsidRDefault="00512A61" w:rsidP="00512A61">
            <w:pPr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A61" w:rsidRPr="00243219" w:rsidRDefault="00512A61" w:rsidP="00512A61">
            <w:pPr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Эффект достигнут</w:t>
            </w:r>
          </w:p>
        </w:tc>
      </w:tr>
    </w:tbl>
    <w:p w:rsidR="00243219" w:rsidRPr="00A677AB" w:rsidRDefault="00243219" w:rsidP="0024321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17C43" w:rsidRDefault="00217C43" w:rsidP="004B626C">
      <w:pPr>
        <w:pStyle w:val="ConsPlusNormal"/>
        <w:spacing w:line="276" w:lineRule="auto"/>
        <w:ind w:firstLine="709"/>
        <w:jc w:val="both"/>
      </w:pPr>
      <w:r w:rsidRPr="00A677AB">
        <w:t>Согласн</w:t>
      </w:r>
      <w:r>
        <w:t>о</w:t>
      </w:r>
      <w:r w:rsidRPr="00A677AB">
        <w:t xml:space="preserve"> постановле</w:t>
      </w:r>
      <w:r>
        <w:t>нию</w:t>
      </w:r>
      <w:r w:rsidRPr="00A677AB">
        <w:t xml:space="preserve"> администрации </w:t>
      </w:r>
      <w:r>
        <w:t>Нижневартовского</w:t>
      </w:r>
      <w:r w:rsidRPr="00A677AB">
        <w:t xml:space="preserve"> района от </w:t>
      </w:r>
      <w:r>
        <w:t xml:space="preserve">14.04.2014 № 690 года </w:t>
      </w:r>
      <w:r w:rsidRPr="00A677AB">
        <w:t>«</w:t>
      </w:r>
      <w:r w:rsidRPr="00DA2D42">
        <w:t>Об утверждении Порядка оценки бюджетной, социальной и экономической эффективности предоставляемых (планируемых к предоставлению) налоговых льгот</w:t>
      </w:r>
      <w:proofErr w:type="gramStart"/>
      <w:r>
        <w:t>»</w:t>
      </w:r>
      <w:proofErr w:type="gramEnd"/>
      <w:r>
        <w:t xml:space="preserve"> с</w:t>
      </w:r>
      <w:r w:rsidRPr="00217C43">
        <w:t>оциальная эффективность налоговых льгот в отношении физических лиц принимается в равной сумме согласно налоговой отчетности.</w:t>
      </w:r>
    </w:p>
    <w:p w:rsidR="00DA2D42" w:rsidRDefault="00DA2D42" w:rsidP="004B626C">
      <w:pPr>
        <w:spacing w:line="276" w:lineRule="auto"/>
        <w:ind w:firstLine="709"/>
        <w:jc w:val="both"/>
        <w:rPr>
          <w:sz w:val="28"/>
          <w:szCs w:val="28"/>
        </w:rPr>
      </w:pPr>
      <w:r w:rsidRPr="00217C43">
        <w:rPr>
          <w:sz w:val="28"/>
          <w:szCs w:val="28"/>
        </w:rPr>
        <w:t>Учитывая, что установленные ре</w:t>
      </w:r>
      <w:r w:rsidRPr="00A677AB">
        <w:rPr>
          <w:sz w:val="28"/>
          <w:szCs w:val="28"/>
        </w:rPr>
        <w:t xml:space="preserve">шением представительного органа </w:t>
      </w:r>
      <w:r>
        <w:rPr>
          <w:sz w:val="28"/>
          <w:szCs w:val="28"/>
        </w:rPr>
        <w:t>Нижневартовского</w:t>
      </w:r>
      <w:r w:rsidRPr="00A677AB">
        <w:rPr>
          <w:sz w:val="28"/>
          <w:szCs w:val="28"/>
        </w:rPr>
        <w:t xml:space="preserve"> района налоговые льготы по земельному налогу для физических лиц </w:t>
      </w:r>
      <w:r w:rsidR="00820133">
        <w:rPr>
          <w:sz w:val="28"/>
          <w:szCs w:val="28"/>
        </w:rPr>
        <w:t>носят исключительно</w:t>
      </w:r>
      <w:r w:rsidR="00217C43">
        <w:rPr>
          <w:sz w:val="28"/>
          <w:szCs w:val="28"/>
        </w:rPr>
        <w:t xml:space="preserve"> социальн</w:t>
      </w:r>
      <w:r w:rsidR="00820133">
        <w:rPr>
          <w:sz w:val="28"/>
          <w:szCs w:val="28"/>
        </w:rPr>
        <w:t>ый</w:t>
      </w:r>
      <w:r w:rsidR="00217C43">
        <w:rPr>
          <w:sz w:val="28"/>
          <w:szCs w:val="28"/>
        </w:rPr>
        <w:t xml:space="preserve"> </w:t>
      </w:r>
      <w:r w:rsidR="00820133">
        <w:rPr>
          <w:sz w:val="28"/>
          <w:szCs w:val="28"/>
        </w:rPr>
        <w:t xml:space="preserve">характер и направлены </w:t>
      </w:r>
      <w:r w:rsidR="00820133" w:rsidRPr="00820133">
        <w:rPr>
          <w:rFonts w:eastAsia="Calibri"/>
          <w:sz w:val="28"/>
          <w:szCs w:val="28"/>
        </w:rPr>
        <w:t>на повышение уровня жизни населения (поддержку малообеспеченных и социально-незащищенных категорий граждан, снижение доли расходов на уплату обязательных платежей)</w:t>
      </w:r>
      <w:r w:rsidR="00217C43">
        <w:rPr>
          <w:sz w:val="28"/>
          <w:szCs w:val="28"/>
        </w:rPr>
        <w:t>, следовательно,</w:t>
      </w:r>
      <w:r w:rsidRPr="00A677AB">
        <w:rPr>
          <w:sz w:val="28"/>
          <w:szCs w:val="28"/>
        </w:rPr>
        <w:t xml:space="preserve"> социальная эффективность</w:t>
      </w:r>
      <w:r w:rsidR="00217C43">
        <w:rPr>
          <w:sz w:val="28"/>
          <w:szCs w:val="28"/>
        </w:rPr>
        <w:t xml:space="preserve"> </w:t>
      </w:r>
      <w:r w:rsidRPr="00A677AB">
        <w:rPr>
          <w:sz w:val="28"/>
          <w:szCs w:val="28"/>
        </w:rPr>
        <w:t>от пользования льготой физическими лицами может иметь</w:t>
      </w:r>
      <w:r w:rsidR="00217C43">
        <w:rPr>
          <w:sz w:val="28"/>
          <w:szCs w:val="28"/>
        </w:rPr>
        <w:t xml:space="preserve"> только положительный результат</w:t>
      </w:r>
      <w:r w:rsidRPr="00A677AB">
        <w:rPr>
          <w:sz w:val="28"/>
          <w:szCs w:val="28"/>
        </w:rPr>
        <w:t>.</w:t>
      </w:r>
    </w:p>
    <w:p w:rsidR="00DA2D42" w:rsidRDefault="00DA2D42" w:rsidP="00243219">
      <w:pPr>
        <w:spacing w:line="276" w:lineRule="auto"/>
        <w:jc w:val="both"/>
        <w:rPr>
          <w:sz w:val="28"/>
          <w:szCs w:val="28"/>
        </w:rPr>
      </w:pPr>
    </w:p>
    <w:p w:rsidR="0086283B" w:rsidRPr="0086283B" w:rsidRDefault="0086283B" w:rsidP="0086283B">
      <w:pPr>
        <w:spacing w:line="276" w:lineRule="auto"/>
        <w:jc w:val="center"/>
        <w:rPr>
          <w:i/>
          <w:sz w:val="28"/>
          <w:szCs w:val="28"/>
        </w:rPr>
      </w:pPr>
      <w:r w:rsidRPr="0086283B">
        <w:rPr>
          <w:i/>
          <w:sz w:val="28"/>
          <w:szCs w:val="28"/>
        </w:rPr>
        <w:t>Юридические лица</w:t>
      </w:r>
    </w:p>
    <w:p w:rsidR="00BB04CF" w:rsidRPr="00790AD0" w:rsidRDefault="00BB04CF" w:rsidP="004B626C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Решением Думы Нижневарт</w:t>
      </w:r>
      <w:r w:rsidR="00403C1D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ского района </w:t>
      </w:r>
      <w:r w:rsidRPr="00790AD0">
        <w:rPr>
          <w:rFonts w:ascii="Times New Roman" w:hAnsi="Times New Roman" w:cs="Times New Roman"/>
          <w:b w:val="0"/>
          <w:sz w:val="28"/>
          <w:szCs w:val="28"/>
        </w:rPr>
        <w:t xml:space="preserve">от 19 марта 2015 г.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790AD0">
        <w:rPr>
          <w:rFonts w:ascii="Times New Roman" w:hAnsi="Times New Roman" w:cs="Times New Roman"/>
          <w:b w:val="0"/>
          <w:sz w:val="28"/>
          <w:szCs w:val="28"/>
        </w:rPr>
        <w:t xml:space="preserve"> 632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790AD0">
        <w:rPr>
          <w:rFonts w:ascii="Times New Roman" w:hAnsi="Times New Roman" w:cs="Times New Roman"/>
          <w:b w:val="0"/>
          <w:sz w:val="28"/>
          <w:szCs w:val="28"/>
        </w:rPr>
        <w:t>О земельном налоге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t xml:space="preserve"> </w:t>
      </w:r>
      <w:r w:rsidRPr="00790AD0">
        <w:rPr>
          <w:rFonts w:ascii="Times New Roman" w:hAnsi="Times New Roman" w:cs="Times New Roman"/>
          <w:b w:val="0"/>
          <w:sz w:val="28"/>
          <w:szCs w:val="28"/>
        </w:rPr>
        <w:t>(</w:t>
      </w:r>
      <w:r w:rsidR="00887B2A" w:rsidRPr="00887B2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ред. решений Думы Нижневартовского района от 17.11.2015</w:t>
      </w:r>
      <w:r w:rsidR="00887B2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№ 721</w:t>
      </w:r>
      <w:hyperlink r:id="rId12" w:history="1"/>
      <w:r w:rsidR="00887B2A" w:rsidRPr="00887B2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 от 02.05.2017</w:t>
      </w:r>
      <w:r w:rsidR="00887B2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№ 150</w:t>
      </w:r>
      <w:r w:rsidRPr="00790AD0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0AD0">
        <w:rPr>
          <w:rFonts w:ascii="Times New Roman" w:hAnsi="Times New Roman" w:cs="Times New Roman"/>
          <w:b w:val="0"/>
          <w:sz w:val="28"/>
          <w:szCs w:val="28"/>
        </w:rPr>
        <w:t>н</w:t>
      </w:r>
      <w:r w:rsidR="0055267B">
        <w:rPr>
          <w:rFonts w:ascii="Times New Roman" w:hAnsi="Times New Roman" w:cs="Times New Roman"/>
          <w:b w:val="0"/>
          <w:sz w:val="28"/>
          <w:szCs w:val="28"/>
        </w:rPr>
        <w:t>а межселенной территории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установлен земельный налог. </w:t>
      </w:r>
      <w:r w:rsidRPr="00790A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соответствие с данным решением от уплаты земельного налога в размере 100 % освобождены следующие категории </w:t>
      </w:r>
      <w:r w:rsidR="0055267B">
        <w:rPr>
          <w:rFonts w:ascii="Times New Roman" w:hAnsi="Times New Roman" w:cs="Times New Roman"/>
          <w:b w:val="0"/>
          <w:sz w:val="28"/>
          <w:szCs w:val="28"/>
        </w:rPr>
        <w:t>юридических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лиц:</w:t>
      </w:r>
    </w:p>
    <w:p w:rsidR="00BB04CF" w:rsidRDefault="00BB04CF" w:rsidP="004B626C">
      <w:pPr>
        <w:pStyle w:val="ConsPlusNormal"/>
        <w:spacing w:line="276" w:lineRule="auto"/>
        <w:ind w:firstLine="540"/>
        <w:jc w:val="both"/>
      </w:pPr>
      <w:r>
        <w:t>1. Учреждения района, финансируемые полностью или частично (в том числе в виде субсидий) за счет средств бюджета Нижневартовского района.</w:t>
      </w:r>
    </w:p>
    <w:p w:rsidR="00BB04CF" w:rsidRDefault="00BB04CF" w:rsidP="004B626C">
      <w:pPr>
        <w:pStyle w:val="ConsPlusNormal"/>
        <w:spacing w:line="276" w:lineRule="auto"/>
        <w:ind w:firstLine="540"/>
        <w:jc w:val="both"/>
      </w:pPr>
      <w:r>
        <w:t>2. Садово-огороднические некоммерческие объединения граждан и гаражные кооперативы имеют право на применение налоговой льготы в отношении земельных участков, которые расположены на их территории и используются льготно</w:t>
      </w:r>
      <w:r w:rsidR="004B626C">
        <w:t>й категорией налогоплательщиков -</w:t>
      </w:r>
      <w:r>
        <w:t xml:space="preserve"> </w:t>
      </w:r>
      <w:r w:rsidR="004B626C">
        <w:t xml:space="preserve">физическими лицами, определенными </w:t>
      </w:r>
      <w:r>
        <w:t>настоящ</w:t>
      </w:r>
      <w:r w:rsidR="004B626C">
        <w:t>им</w:t>
      </w:r>
      <w:r>
        <w:t xml:space="preserve"> решени</w:t>
      </w:r>
      <w:r w:rsidR="004B626C">
        <w:t>ем</w:t>
      </w:r>
      <w:r>
        <w:t>.</w:t>
      </w:r>
    </w:p>
    <w:p w:rsidR="00BB04CF" w:rsidRDefault="00BB04CF" w:rsidP="004B626C">
      <w:pPr>
        <w:pStyle w:val="ConsPlusNormal"/>
        <w:spacing w:line="276" w:lineRule="auto"/>
        <w:ind w:firstLine="540"/>
        <w:jc w:val="both"/>
      </w:pPr>
      <w:r>
        <w:t>3. Организации и физические лица, являющиеся индивидуальными предпринимателями, в отношении земельных участков под инвестиционными проектами, на срок реализации таких проектов на территории Нижневартовского района.</w:t>
      </w:r>
    </w:p>
    <w:p w:rsidR="00BB04CF" w:rsidRDefault="00BB04CF" w:rsidP="004B626C">
      <w:pPr>
        <w:pStyle w:val="ConsPlusNormal"/>
        <w:spacing w:line="276" w:lineRule="auto"/>
        <w:ind w:firstLine="540"/>
        <w:jc w:val="both"/>
      </w:pPr>
      <w:r>
        <w:lastRenderedPageBreak/>
        <w:t>В 2015 году в целях увеличения инвестиционной привлекательности территории района была введена льгота для организаций и индивидуальных предпринимателей в виде освобождения от уплаты налога в размере 100 % на срок реализации таких проекто</w:t>
      </w:r>
      <w:r w:rsidR="00512A61">
        <w:t>в. В 2017</w:t>
      </w:r>
      <w:r>
        <w:t xml:space="preserve"> году данная льгота востребована не была.</w:t>
      </w:r>
    </w:p>
    <w:p w:rsidR="0055267B" w:rsidRDefault="00DA2D42" w:rsidP="004B626C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677AB">
        <w:rPr>
          <w:sz w:val="28"/>
          <w:szCs w:val="28"/>
        </w:rPr>
        <w:t xml:space="preserve">Количество налогоплательщиков земельного налога, учтенных в базе данных налогового органа - </w:t>
      </w:r>
      <w:r w:rsidR="00BB04CF">
        <w:rPr>
          <w:sz w:val="28"/>
          <w:szCs w:val="28"/>
        </w:rPr>
        <w:t>3</w:t>
      </w:r>
      <w:r w:rsidR="0055267B">
        <w:rPr>
          <w:sz w:val="28"/>
          <w:szCs w:val="28"/>
        </w:rPr>
        <w:t>8</w:t>
      </w:r>
      <w:r w:rsidRPr="00A677AB">
        <w:rPr>
          <w:sz w:val="28"/>
          <w:szCs w:val="28"/>
        </w:rPr>
        <w:t xml:space="preserve">, количество налогоплательщиков, которые воспользовались налоговой льготой, установленной нормативным правовым актом представительного органа – </w:t>
      </w:r>
      <w:r w:rsidR="00512A61">
        <w:rPr>
          <w:sz w:val="28"/>
          <w:szCs w:val="28"/>
        </w:rPr>
        <w:t>1</w:t>
      </w:r>
      <w:r w:rsidRPr="00A677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677AB">
        <w:rPr>
          <w:sz w:val="28"/>
          <w:szCs w:val="28"/>
        </w:rPr>
        <w:t xml:space="preserve">Сумма предоставленных юридическим лицам налоговых льгот по земельному налогу, установленных нормативным правовым актом представительного органа </w:t>
      </w:r>
      <w:r w:rsidR="00BB04CF">
        <w:rPr>
          <w:sz w:val="28"/>
          <w:szCs w:val="28"/>
        </w:rPr>
        <w:t>Нижневартовского района</w:t>
      </w:r>
      <w:r w:rsidRPr="00D33C63">
        <w:rPr>
          <w:sz w:val="28"/>
          <w:szCs w:val="28"/>
        </w:rPr>
        <w:t>, в 201</w:t>
      </w:r>
      <w:r w:rsidR="00512A61">
        <w:rPr>
          <w:sz w:val="28"/>
          <w:szCs w:val="28"/>
        </w:rPr>
        <w:t>7</w:t>
      </w:r>
      <w:r w:rsidRPr="00D33C63">
        <w:rPr>
          <w:sz w:val="28"/>
          <w:szCs w:val="28"/>
        </w:rPr>
        <w:t xml:space="preserve"> году составила </w:t>
      </w:r>
      <w:r w:rsidR="00512A61">
        <w:rPr>
          <w:sz w:val="28"/>
          <w:szCs w:val="28"/>
        </w:rPr>
        <w:t>145</w:t>
      </w:r>
      <w:r w:rsidR="0055267B">
        <w:rPr>
          <w:sz w:val="28"/>
          <w:szCs w:val="28"/>
        </w:rPr>
        <w:t>,0</w:t>
      </w:r>
      <w:r w:rsidRPr="00D33C63">
        <w:rPr>
          <w:sz w:val="28"/>
          <w:szCs w:val="28"/>
        </w:rPr>
        <w:t xml:space="preserve"> тыс. руб.</w:t>
      </w:r>
      <w:r w:rsidR="0030365E">
        <w:rPr>
          <w:sz w:val="28"/>
          <w:szCs w:val="28"/>
        </w:rPr>
        <w:t xml:space="preserve">, установленных федеральным законодательством – </w:t>
      </w:r>
      <w:r w:rsidR="0055267B">
        <w:rPr>
          <w:sz w:val="28"/>
          <w:szCs w:val="28"/>
        </w:rPr>
        <w:t>8 4</w:t>
      </w:r>
      <w:r w:rsidR="00512A61">
        <w:rPr>
          <w:sz w:val="28"/>
          <w:szCs w:val="28"/>
        </w:rPr>
        <w:t>99</w:t>
      </w:r>
      <w:r w:rsidR="0055267B">
        <w:rPr>
          <w:sz w:val="28"/>
          <w:szCs w:val="28"/>
        </w:rPr>
        <w:t>,0</w:t>
      </w:r>
      <w:r w:rsidR="0030365E">
        <w:rPr>
          <w:sz w:val="28"/>
          <w:szCs w:val="28"/>
        </w:rPr>
        <w:t xml:space="preserve"> тыс. рублей.</w:t>
      </w:r>
      <w:r w:rsidRPr="00D33C63">
        <w:rPr>
          <w:sz w:val="28"/>
          <w:szCs w:val="28"/>
        </w:rPr>
        <w:t xml:space="preserve"> </w:t>
      </w:r>
    </w:p>
    <w:p w:rsidR="00E16A8F" w:rsidRDefault="00E16A8F" w:rsidP="004B626C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541"/>
        <w:gridCol w:w="2573"/>
        <w:gridCol w:w="1417"/>
        <w:gridCol w:w="993"/>
        <w:gridCol w:w="992"/>
        <w:gridCol w:w="1276"/>
        <w:gridCol w:w="2409"/>
      </w:tblGrid>
      <w:tr w:rsidR="0055267B" w:rsidRPr="0055267B" w:rsidTr="0055267B">
        <w:trPr>
          <w:trHeight w:val="88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B" w:rsidRPr="0055267B" w:rsidRDefault="0055267B" w:rsidP="0055267B">
            <w:pPr>
              <w:jc w:val="center"/>
              <w:rPr>
                <w:color w:val="000000"/>
              </w:rPr>
            </w:pPr>
            <w:r w:rsidRPr="0055267B">
              <w:rPr>
                <w:color w:val="000000"/>
              </w:rPr>
              <w:t>№ п/п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67B" w:rsidRPr="0055267B" w:rsidRDefault="0055267B" w:rsidP="005526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67B">
              <w:rPr>
                <w:b/>
                <w:bCs/>
                <w:color w:val="000000"/>
                <w:sz w:val="20"/>
                <w:szCs w:val="20"/>
              </w:rPr>
              <w:t>Категории налогоплательщиков, которым предоставлена льгота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67B" w:rsidRPr="0055267B" w:rsidRDefault="0055267B" w:rsidP="005526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67B">
              <w:rPr>
                <w:b/>
                <w:bCs/>
                <w:color w:val="000000"/>
                <w:sz w:val="20"/>
                <w:szCs w:val="20"/>
              </w:rPr>
              <w:t>Количество налогоплательщиков, пользующихся налоговой льготой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67B" w:rsidRPr="0055267B" w:rsidRDefault="0055267B" w:rsidP="005526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67B">
              <w:rPr>
                <w:b/>
                <w:bCs/>
                <w:color w:val="000000"/>
                <w:sz w:val="20"/>
                <w:szCs w:val="20"/>
              </w:rPr>
              <w:t>Сумма предоставленных льгот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55267B" w:rsidRPr="0055267B" w:rsidRDefault="0055267B" w:rsidP="005526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Темп роста/снижения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55267B" w:rsidRPr="0055267B" w:rsidRDefault="0055267B" w:rsidP="005526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Пояснение</w:t>
            </w:r>
          </w:p>
        </w:tc>
      </w:tr>
      <w:tr w:rsidR="0055267B" w:rsidRPr="0055267B" w:rsidTr="0055267B">
        <w:trPr>
          <w:trHeight w:val="7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67B" w:rsidRPr="0055267B" w:rsidRDefault="0055267B" w:rsidP="0055267B">
            <w:pPr>
              <w:rPr>
                <w:color w:val="000000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67B" w:rsidRPr="0055267B" w:rsidRDefault="0055267B" w:rsidP="005526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67B" w:rsidRPr="0055267B" w:rsidRDefault="0055267B" w:rsidP="005526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67B" w:rsidRPr="0055267B" w:rsidRDefault="0055267B" w:rsidP="00403C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67B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403C1D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55267B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67B" w:rsidRPr="0055267B" w:rsidRDefault="0055267B" w:rsidP="00403C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67B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403C1D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55267B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67B" w:rsidRPr="0055267B" w:rsidRDefault="0055267B" w:rsidP="005526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67B" w:rsidRPr="0055267B" w:rsidRDefault="0055267B" w:rsidP="005526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267B" w:rsidRPr="0055267B" w:rsidTr="00EC06A5">
        <w:trPr>
          <w:trHeight w:val="9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67B" w:rsidRPr="0055267B" w:rsidRDefault="0055267B" w:rsidP="0055267B">
            <w:pPr>
              <w:jc w:val="center"/>
              <w:rPr>
                <w:color w:val="000000"/>
                <w:sz w:val="22"/>
                <w:szCs w:val="22"/>
              </w:rPr>
            </w:pPr>
            <w:r w:rsidRPr="0055267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B" w:rsidRPr="0055267B" w:rsidRDefault="0055267B" w:rsidP="00EC06A5">
            <w:pPr>
              <w:jc w:val="center"/>
              <w:rPr>
                <w:color w:val="000000"/>
                <w:sz w:val="22"/>
                <w:szCs w:val="22"/>
              </w:rPr>
            </w:pPr>
            <w:r w:rsidRPr="0055267B">
              <w:rPr>
                <w:color w:val="000000"/>
                <w:sz w:val="22"/>
                <w:szCs w:val="22"/>
              </w:rPr>
              <w:t>Учреждения района, финансируемые полностью или частично (в том числе в виде субсидий) за счет средств бюджета Нижневартовского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B" w:rsidRPr="0055267B" w:rsidRDefault="0055267B" w:rsidP="0055267B">
            <w:pPr>
              <w:jc w:val="center"/>
              <w:rPr>
                <w:color w:val="000000"/>
                <w:sz w:val="22"/>
                <w:szCs w:val="22"/>
              </w:rPr>
            </w:pPr>
            <w:r w:rsidRPr="0055267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67B" w:rsidRPr="0055267B" w:rsidRDefault="00512A61" w:rsidP="0055267B">
            <w:pPr>
              <w:jc w:val="center"/>
              <w:rPr>
                <w:color w:val="000000"/>
                <w:sz w:val="22"/>
                <w:szCs w:val="22"/>
              </w:rPr>
            </w:pPr>
            <w:r w:rsidRPr="0055267B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55267B">
              <w:rPr>
                <w:color w:val="000000"/>
                <w:sz w:val="22"/>
                <w:szCs w:val="22"/>
              </w:rPr>
              <w:t>620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B" w:rsidRPr="0055267B" w:rsidRDefault="00512A61" w:rsidP="005526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67B" w:rsidRPr="0055267B" w:rsidRDefault="00512A61" w:rsidP="00E16A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</w:t>
            </w:r>
            <w:r w:rsidR="00A95DC8">
              <w:rPr>
                <w:color w:val="000000"/>
                <w:sz w:val="22"/>
                <w:szCs w:val="22"/>
              </w:rPr>
              <w:t>0 %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67B" w:rsidRPr="00E16A8F" w:rsidRDefault="00512A61" w:rsidP="00EC06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Резкое снижение предоставленных льгот связано с изменением границ Нижневартовского района, и переводом земель населенных пунктов, на которых находятся муниципальные учреждения, в состав земель городских и сельских поселений в соответствии с законом автономного округа от </w:t>
            </w:r>
            <w:r w:rsidR="00EC06A5">
              <w:rPr>
                <w:color w:val="000000"/>
                <w:sz w:val="18"/>
                <w:szCs w:val="18"/>
              </w:rPr>
              <w:t xml:space="preserve">16.01.2017 № </w:t>
            </w:r>
            <w:r w:rsidR="00AC303B">
              <w:rPr>
                <w:color w:val="000000"/>
                <w:sz w:val="18"/>
                <w:szCs w:val="18"/>
              </w:rPr>
              <w:t>1</w:t>
            </w:r>
            <w:r w:rsidR="00EC06A5">
              <w:rPr>
                <w:color w:val="000000"/>
                <w:sz w:val="18"/>
                <w:szCs w:val="18"/>
              </w:rPr>
              <w:t>-ОЗ «О внесении изменений в закон Ханты-Мансийского автономного округа – Югры «О статусе и границах муниципальных образований Ханты-Мансийского автономного округа – Югры»»</w:t>
            </w:r>
          </w:p>
        </w:tc>
      </w:tr>
      <w:tr w:rsidR="0055267B" w:rsidRPr="0055267B" w:rsidTr="00E16A8F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67B" w:rsidRPr="0055267B" w:rsidRDefault="0055267B" w:rsidP="0055267B">
            <w:pPr>
              <w:jc w:val="center"/>
              <w:rPr>
                <w:color w:val="000000"/>
                <w:sz w:val="22"/>
                <w:szCs w:val="22"/>
              </w:rPr>
            </w:pPr>
            <w:r w:rsidRPr="0055267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B" w:rsidRPr="0055267B" w:rsidRDefault="0055267B" w:rsidP="0055267B">
            <w:pPr>
              <w:rPr>
                <w:color w:val="000000"/>
                <w:sz w:val="22"/>
                <w:szCs w:val="22"/>
              </w:rPr>
            </w:pPr>
            <w:r w:rsidRPr="0055267B">
              <w:rPr>
                <w:color w:val="000000"/>
                <w:sz w:val="22"/>
                <w:szCs w:val="22"/>
              </w:rPr>
              <w:t>Садово-огороднические некоммерческие объединения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B" w:rsidRPr="0055267B" w:rsidRDefault="0055267B" w:rsidP="0055267B">
            <w:pPr>
              <w:jc w:val="center"/>
              <w:rPr>
                <w:color w:val="000000"/>
                <w:sz w:val="22"/>
                <w:szCs w:val="22"/>
              </w:rPr>
            </w:pPr>
            <w:r w:rsidRPr="0055267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67B" w:rsidRPr="0055267B" w:rsidRDefault="0055267B" w:rsidP="0055267B">
            <w:pPr>
              <w:jc w:val="center"/>
              <w:rPr>
                <w:color w:val="000000"/>
                <w:sz w:val="22"/>
                <w:szCs w:val="22"/>
              </w:rPr>
            </w:pPr>
            <w:r w:rsidRPr="0055267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67B" w:rsidRPr="0055267B" w:rsidRDefault="0055267B" w:rsidP="0055267B">
            <w:pPr>
              <w:jc w:val="center"/>
              <w:rPr>
                <w:color w:val="000000"/>
                <w:sz w:val="22"/>
                <w:szCs w:val="22"/>
              </w:rPr>
            </w:pPr>
            <w:r w:rsidRPr="0055267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267B" w:rsidRPr="0055267B" w:rsidRDefault="00A95DC8" w:rsidP="00E16A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67B" w:rsidRPr="0055267B" w:rsidRDefault="0055267B" w:rsidP="005526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5267B" w:rsidRPr="0055267B" w:rsidTr="00E16A8F">
        <w:trPr>
          <w:trHeight w:val="9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67B" w:rsidRPr="0055267B" w:rsidRDefault="0055267B" w:rsidP="0055267B">
            <w:pPr>
              <w:jc w:val="center"/>
              <w:rPr>
                <w:color w:val="000000"/>
                <w:sz w:val="22"/>
                <w:szCs w:val="22"/>
              </w:rPr>
            </w:pPr>
            <w:r w:rsidRPr="0055267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B" w:rsidRPr="0055267B" w:rsidRDefault="0055267B" w:rsidP="0055267B">
            <w:pPr>
              <w:rPr>
                <w:color w:val="000000"/>
                <w:sz w:val="22"/>
                <w:szCs w:val="22"/>
              </w:rPr>
            </w:pPr>
            <w:r w:rsidRPr="0055267B">
              <w:rPr>
                <w:color w:val="000000"/>
                <w:sz w:val="22"/>
                <w:szCs w:val="22"/>
              </w:rPr>
              <w:t>Организации и физические лица, являющиеся индивидуальными предпринимателями, в отношении земельных участков под инвестиционными проектами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B" w:rsidRPr="0055267B" w:rsidRDefault="0055267B" w:rsidP="0055267B">
            <w:pPr>
              <w:jc w:val="center"/>
              <w:rPr>
                <w:color w:val="000000"/>
                <w:sz w:val="22"/>
                <w:szCs w:val="22"/>
              </w:rPr>
            </w:pPr>
            <w:r w:rsidRPr="0055267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67B" w:rsidRPr="0055267B" w:rsidRDefault="0055267B" w:rsidP="0055267B">
            <w:pPr>
              <w:jc w:val="center"/>
              <w:rPr>
                <w:color w:val="000000"/>
                <w:sz w:val="22"/>
                <w:szCs w:val="22"/>
              </w:rPr>
            </w:pPr>
            <w:r w:rsidRPr="0055267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67B" w:rsidRPr="0055267B" w:rsidRDefault="0055267B" w:rsidP="0055267B">
            <w:pPr>
              <w:jc w:val="center"/>
              <w:rPr>
                <w:color w:val="000000"/>
                <w:sz w:val="22"/>
                <w:szCs w:val="22"/>
              </w:rPr>
            </w:pPr>
            <w:r w:rsidRPr="0055267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267B" w:rsidRPr="0055267B" w:rsidRDefault="00A95DC8" w:rsidP="00E16A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67B" w:rsidRPr="0055267B" w:rsidRDefault="0055267B" w:rsidP="005526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55267B" w:rsidRDefault="0055267B" w:rsidP="004B626C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5267B" w:rsidRDefault="0055267B" w:rsidP="004B626C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5267B" w:rsidRDefault="0055267B" w:rsidP="004B626C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5267B" w:rsidRDefault="0055267B" w:rsidP="004B626C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5267B" w:rsidRDefault="00E16A8F" w:rsidP="004B626C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льгот:</w:t>
      </w:r>
    </w:p>
    <w:p w:rsidR="00AC303B" w:rsidRPr="00906C00" w:rsidRDefault="00AC303B" w:rsidP="00AC303B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целях корректной оценки бюджетной эффективности необходимо привести </w:t>
      </w:r>
      <w:r w:rsidR="00132297">
        <w:rPr>
          <w:sz w:val="28"/>
          <w:szCs w:val="28"/>
        </w:rPr>
        <w:t xml:space="preserve">сумму налога, исчисленного и подлежащего уплате в бюджет района, в сопоставимые с 2019 годом условия, в связи с </w:t>
      </w:r>
      <w:r w:rsidR="00906C00" w:rsidRPr="00906C00">
        <w:rPr>
          <w:color w:val="000000"/>
          <w:sz w:val="28"/>
          <w:szCs w:val="28"/>
        </w:rPr>
        <w:t>переводом земель населенных пунктов,</w:t>
      </w:r>
      <w:r w:rsidR="00906C00">
        <w:rPr>
          <w:color w:val="000000"/>
          <w:sz w:val="28"/>
          <w:szCs w:val="28"/>
        </w:rPr>
        <w:t xml:space="preserve"> находящихся на межселенной территории (с. Былин, д. </w:t>
      </w:r>
      <w:proofErr w:type="spellStart"/>
      <w:r w:rsidR="00906C00">
        <w:rPr>
          <w:color w:val="000000"/>
          <w:sz w:val="28"/>
          <w:szCs w:val="28"/>
        </w:rPr>
        <w:t>Соснино</w:t>
      </w:r>
      <w:proofErr w:type="spellEnd"/>
      <w:r w:rsidR="00906C00">
        <w:rPr>
          <w:color w:val="000000"/>
          <w:sz w:val="28"/>
          <w:szCs w:val="28"/>
        </w:rPr>
        <w:t xml:space="preserve">, д. </w:t>
      </w:r>
      <w:proofErr w:type="spellStart"/>
      <w:r w:rsidR="00906C00">
        <w:rPr>
          <w:color w:val="000000"/>
          <w:sz w:val="28"/>
          <w:szCs w:val="28"/>
        </w:rPr>
        <w:t>Пасол</w:t>
      </w:r>
      <w:proofErr w:type="spellEnd"/>
      <w:r w:rsidR="00906C00">
        <w:rPr>
          <w:color w:val="000000"/>
          <w:sz w:val="28"/>
          <w:szCs w:val="28"/>
        </w:rPr>
        <w:t xml:space="preserve">, д. </w:t>
      </w:r>
      <w:proofErr w:type="spellStart"/>
      <w:r w:rsidR="00906C00">
        <w:rPr>
          <w:color w:val="000000"/>
          <w:sz w:val="28"/>
          <w:szCs w:val="28"/>
        </w:rPr>
        <w:t>Вампугол</w:t>
      </w:r>
      <w:proofErr w:type="spellEnd"/>
      <w:r w:rsidR="00906C00">
        <w:rPr>
          <w:color w:val="000000"/>
          <w:sz w:val="28"/>
          <w:szCs w:val="28"/>
        </w:rPr>
        <w:t>) и</w:t>
      </w:r>
      <w:r w:rsidR="00906C00" w:rsidRPr="00906C00">
        <w:rPr>
          <w:color w:val="000000"/>
          <w:sz w:val="28"/>
          <w:szCs w:val="28"/>
        </w:rPr>
        <w:t xml:space="preserve"> на которых находятся муниципальные учреждения, в состав земель городских и сельских поселений </w:t>
      </w:r>
      <w:r w:rsidR="00906C00">
        <w:rPr>
          <w:color w:val="000000"/>
          <w:sz w:val="28"/>
          <w:szCs w:val="28"/>
        </w:rPr>
        <w:t xml:space="preserve">района </w:t>
      </w:r>
      <w:r w:rsidR="00906C00" w:rsidRPr="00906C00">
        <w:rPr>
          <w:color w:val="000000"/>
          <w:sz w:val="28"/>
          <w:szCs w:val="28"/>
        </w:rPr>
        <w:t>в соответствии с законом автономного округа от 16.01.2017 № 1-ОЗ «О внесении изменений в закон Ханты-Мансийского автономного округа – Югры «О статусе и границах муниципальных образований Ханты-Мансийского автономного округа – Югры»»</w:t>
      </w:r>
      <w:r w:rsidR="00906C00">
        <w:rPr>
          <w:color w:val="000000"/>
          <w:sz w:val="28"/>
          <w:szCs w:val="28"/>
        </w:rPr>
        <w:t>. Сумма исчисленного налога за 2017 год по данным учреждениям составила 1 475,0 ты. Рублей.</w:t>
      </w:r>
    </w:p>
    <w:p w:rsidR="0055267B" w:rsidRDefault="0055267B" w:rsidP="004B626C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W w:w="10277" w:type="dxa"/>
        <w:tblLook w:val="04A0" w:firstRow="1" w:lastRow="0" w:firstColumn="1" w:lastColumn="0" w:noHBand="0" w:noVBand="1"/>
      </w:tblPr>
      <w:tblGrid>
        <w:gridCol w:w="704"/>
        <w:gridCol w:w="2835"/>
        <w:gridCol w:w="851"/>
        <w:gridCol w:w="1275"/>
        <w:gridCol w:w="1276"/>
        <w:gridCol w:w="1418"/>
        <w:gridCol w:w="1918"/>
      </w:tblGrid>
      <w:tr w:rsidR="00243219" w:rsidRPr="00243219" w:rsidTr="001800D3">
        <w:trPr>
          <w:trHeight w:val="31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19" w:rsidRPr="00243219" w:rsidRDefault="00243219" w:rsidP="001800D3">
            <w:pPr>
              <w:jc w:val="center"/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19" w:rsidRPr="00243219" w:rsidRDefault="00243219" w:rsidP="001800D3">
            <w:pPr>
              <w:jc w:val="center"/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Наименование</w:t>
            </w:r>
            <w:r w:rsidRPr="00243219">
              <w:rPr>
                <w:color w:val="000000"/>
                <w:sz w:val="20"/>
                <w:szCs w:val="20"/>
              </w:rPr>
              <w:br/>
              <w:t>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19" w:rsidRPr="00243219" w:rsidRDefault="00243219" w:rsidP="001800D3">
            <w:pPr>
              <w:jc w:val="center"/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Ед.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43219">
              <w:rPr>
                <w:color w:val="000000"/>
                <w:sz w:val="20"/>
                <w:szCs w:val="20"/>
              </w:rPr>
              <w:t>изм.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219" w:rsidRPr="00243219" w:rsidRDefault="00EC06A5" w:rsidP="00403C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  <w:r w:rsidR="00403C1D">
              <w:rPr>
                <w:color w:val="000000"/>
                <w:sz w:val="20"/>
                <w:szCs w:val="20"/>
              </w:rPr>
              <w:t>6</w:t>
            </w:r>
            <w:r w:rsidR="00243219" w:rsidRPr="00243219">
              <w:rPr>
                <w:color w:val="000000"/>
                <w:sz w:val="20"/>
                <w:szCs w:val="20"/>
              </w:rPr>
              <w:t xml:space="preserve"> год</w:t>
            </w:r>
            <w:r w:rsidR="00243219" w:rsidRPr="00243219">
              <w:rPr>
                <w:color w:val="000000"/>
                <w:sz w:val="20"/>
                <w:szCs w:val="20"/>
              </w:rPr>
              <w:br/>
              <w:t xml:space="preserve">(отчет)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219" w:rsidRPr="00243219" w:rsidRDefault="00243219" w:rsidP="00EC06A5">
            <w:pPr>
              <w:jc w:val="center"/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201</w:t>
            </w:r>
            <w:r w:rsidR="00EC06A5">
              <w:rPr>
                <w:color w:val="000000"/>
                <w:sz w:val="20"/>
                <w:szCs w:val="20"/>
              </w:rPr>
              <w:t>7</w:t>
            </w:r>
            <w:r w:rsidRPr="00243219">
              <w:rPr>
                <w:color w:val="000000"/>
                <w:sz w:val="20"/>
                <w:szCs w:val="20"/>
              </w:rPr>
              <w:t xml:space="preserve"> год</w:t>
            </w:r>
            <w:r w:rsidRPr="00243219">
              <w:rPr>
                <w:color w:val="000000"/>
                <w:sz w:val="20"/>
                <w:szCs w:val="20"/>
              </w:rPr>
              <w:br/>
              <w:t xml:space="preserve">(отчет)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19" w:rsidRPr="00243219" w:rsidRDefault="00243219" w:rsidP="001800D3">
            <w:pPr>
              <w:jc w:val="center"/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Коэффициент эффективности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19" w:rsidRPr="00243219" w:rsidRDefault="00243219" w:rsidP="001800D3">
            <w:pPr>
              <w:jc w:val="center"/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Предельное значение коэффициентов эффективности</w:t>
            </w:r>
          </w:p>
        </w:tc>
      </w:tr>
      <w:tr w:rsidR="00243219" w:rsidRPr="00243219" w:rsidTr="001800D3">
        <w:trPr>
          <w:trHeight w:val="72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19" w:rsidRPr="00243219" w:rsidRDefault="00243219" w:rsidP="00180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19" w:rsidRPr="00243219" w:rsidRDefault="00243219" w:rsidP="00180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19" w:rsidRPr="00243219" w:rsidRDefault="00243219" w:rsidP="00180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19" w:rsidRPr="00243219" w:rsidRDefault="00243219" w:rsidP="00180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19" w:rsidRPr="00243219" w:rsidRDefault="00243219" w:rsidP="00180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219" w:rsidRPr="00243219" w:rsidRDefault="00243219" w:rsidP="00180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219" w:rsidRPr="00243219" w:rsidRDefault="00243219" w:rsidP="001800D3">
            <w:pPr>
              <w:rPr>
                <w:color w:val="000000"/>
                <w:sz w:val="20"/>
                <w:szCs w:val="20"/>
              </w:rPr>
            </w:pPr>
          </w:p>
        </w:tc>
      </w:tr>
      <w:tr w:rsidR="00243219" w:rsidRPr="00243219" w:rsidTr="001800D3">
        <w:trPr>
          <w:trHeight w:val="4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219" w:rsidRPr="00243219" w:rsidRDefault="00243219" w:rsidP="00180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3219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219" w:rsidRPr="00243219" w:rsidRDefault="00243219" w:rsidP="001800D3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243219">
              <w:rPr>
                <w:b/>
                <w:bCs/>
                <w:color w:val="000000"/>
                <w:sz w:val="20"/>
                <w:szCs w:val="20"/>
                <w:u w:val="single"/>
              </w:rPr>
              <w:t>Бюджетная эффективность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19" w:rsidRPr="00243219" w:rsidRDefault="00243219" w:rsidP="001800D3">
            <w:pPr>
              <w:jc w:val="center"/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19" w:rsidRPr="00243219" w:rsidRDefault="00243219" w:rsidP="001800D3">
            <w:pPr>
              <w:jc w:val="center"/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3219" w:rsidRPr="00243219" w:rsidRDefault="00243219" w:rsidP="001800D3">
            <w:pPr>
              <w:jc w:val="center"/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219" w:rsidRPr="00243219" w:rsidRDefault="00243219" w:rsidP="001800D3">
            <w:pPr>
              <w:jc w:val="center"/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19" w:rsidRPr="00243219" w:rsidRDefault="00243219" w:rsidP="00180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06A5" w:rsidRPr="00243219" w:rsidTr="001800D3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6A5" w:rsidRPr="00243219" w:rsidRDefault="00EC06A5" w:rsidP="00EC06A5">
            <w:pPr>
              <w:jc w:val="center"/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6A5" w:rsidRPr="00243219" w:rsidRDefault="00EC06A5" w:rsidP="00EC06A5">
            <w:pPr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Налоговая база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6A5" w:rsidRPr="00243219" w:rsidRDefault="00EC06A5" w:rsidP="00EC06A5">
            <w:pPr>
              <w:jc w:val="center"/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(тыс.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43219"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6A5" w:rsidRPr="00243219" w:rsidRDefault="00EC06A5" w:rsidP="00EC06A5">
            <w:pPr>
              <w:jc w:val="right"/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3 969 413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6A5" w:rsidRPr="00EC06A5" w:rsidRDefault="00EC06A5" w:rsidP="00EC06A5">
            <w:pPr>
              <w:jc w:val="right"/>
              <w:rPr>
                <w:color w:val="000000"/>
                <w:sz w:val="20"/>
                <w:szCs w:val="20"/>
              </w:rPr>
            </w:pPr>
            <w:r w:rsidRPr="00EC06A5">
              <w:rPr>
                <w:color w:val="000000"/>
                <w:sz w:val="20"/>
                <w:szCs w:val="20"/>
              </w:rPr>
              <w:t>3 787 144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6A5" w:rsidRPr="00243219" w:rsidRDefault="00EC06A5" w:rsidP="00EC06A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6A5" w:rsidRPr="00243219" w:rsidRDefault="00EC06A5" w:rsidP="00EC06A5">
            <w:pPr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06A5" w:rsidRPr="00243219" w:rsidTr="001800D3">
        <w:trPr>
          <w:trHeight w:val="6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6A5" w:rsidRPr="00243219" w:rsidRDefault="00EC06A5" w:rsidP="00EC06A5">
            <w:pPr>
              <w:jc w:val="center"/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6A5" w:rsidRPr="00243219" w:rsidRDefault="00EC06A5" w:rsidP="00EC06A5">
            <w:pPr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Сумма исчисленного налога,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43219">
              <w:rPr>
                <w:color w:val="000000"/>
                <w:sz w:val="20"/>
                <w:szCs w:val="20"/>
              </w:rPr>
              <w:t>подлежащего уплате в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6A5" w:rsidRPr="00243219" w:rsidRDefault="00EC06A5" w:rsidP="00EC06A5">
            <w:pPr>
              <w:jc w:val="center"/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(тыс.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43219"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6A5" w:rsidRPr="00243219" w:rsidRDefault="00EC06A5" w:rsidP="00EC06A5">
            <w:pPr>
              <w:jc w:val="right"/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27 301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6A5" w:rsidRPr="00EC06A5" w:rsidRDefault="00132297" w:rsidP="00EC06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6A5" w:rsidRPr="00243219" w:rsidRDefault="00132297" w:rsidP="00EC06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</w:t>
            </w:r>
            <w:r w:rsidR="00EC06A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6A5" w:rsidRPr="00243219" w:rsidRDefault="00EC06A5" w:rsidP="00EC06A5">
            <w:pPr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Эффект достигнут</w:t>
            </w:r>
          </w:p>
        </w:tc>
      </w:tr>
      <w:tr w:rsidR="00EC06A5" w:rsidRPr="00243219" w:rsidTr="001800D3">
        <w:trPr>
          <w:trHeight w:val="60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6A5" w:rsidRPr="00243219" w:rsidRDefault="00EC06A5" w:rsidP="00EC06A5">
            <w:pPr>
              <w:jc w:val="center"/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6A5" w:rsidRPr="00243219" w:rsidRDefault="00EC06A5" w:rsidP="00EC06A5">
            <w:pPr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Сумма предоставленных налоговых льгот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6A5" w:rsidRPr="00243219" w:rsidRDefault="00EC06A5" w:rsidP="00EC06A5">
            <w:pPr>
              <w:jc w:val="center"/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(тыс.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43219"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6A5" w:rsidRPr="00243219" w:rsidRDefault="00EC06A5" w:rsidP="00EC06A5">
            <w:pPr>
              <w:jc w:val="right"/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1 620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6A5" w:rsidRPr="00EC06A5" w:rsidRDefault="00EC06A5" w:rsidP="00EC06A5">
            <w:pPr>
              <w:jc w:val="right"/>
              <w:rPr>
                <w:color w:val="000000"/>
                <w:sz w:val="20"/>
                <w:szCs w:val="20"/>
              </w:rPr>
            </w:pPr>
            <w:r w:rsidRPr="00EC06A5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6A5" w:rsidRPr="00243219" w:rsidRDefault="00EC06A5" w:rsidP="00EC06A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6A5" w:rsidRPr="00243219" w:rsidRDefault="00EC06A5" w:rsidP="00EC06A5">
            <w:pPr>
              <w:rPr>
                <w:color w:val="000000"/>
                <w:sz w:val="20"/>
                <w:szCs w:val="20"/>
              </w:rPr>
            </w:pPr>
            <w:r w:rsidRPr="00243219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243219" w:rsidRDefault="00243219" w:rsidP="00243219">
      <w:pPr>
        <w:pStyle w:val="ConsPlusNormal"/>
        <w:spacing w:line="276" w:lineRule="auto"/>
        <w:jc w:val="both"/>
      </w:pPr>
    </w:p>
    <w:p w:rsidR="004B626C" w:rsidRDefault="00E16A8F" w:rsidP="004B626C">
      <w:pPr>
        <w:pStyle w:val="ConsPlusNormal"/>
        <w:spacing w:line="276" w:lineRule="auto"/>
        <w:ind w:firstLine="709"/>
        <w:jc w:val="both"/>
      </w:pPr>
      <w:r w:rsidRPr="00A677AB">
        <w:t>Согласн</w:t>
      </w:r>
      <w:r>
        <w:t>о</w:t>
      </w:r>
      <w:r w:rsidRPr="00A677AB">
        <w:t xml:space="preserve"> постановле</w:t>
      </w:r>
      <w:r>
        <w:t>нию</w:t>
      </w:r>
      <w:r w:rsidRPr="00A677AB">
        <w:t xml:space="preserve"> администрации </w:t>
      </w:r>
      <w:r>
        <w:t>Нижневартовского</w:t>
      </w:r>
      <w:r w:rsidRPr="00A677AB">
        <w:t xml:space="preserve"> района от </w:t>
      </w:r>
      <w:r>
        <w:t xml:space="preserve">14.04.2014 № 690 года </w:t>
      </w:r>
      <w:r w:rsidRPr="00A677AB">
        <w:t>№</w:t>
      </w:r>
      <w:r>
        <w:t xml:space="preserve"> 690</w:t>
      </w:r>
      <w:r w:rsidRPr="00A677AB">
        <w:t xml:space="preserve"> «</w:t>
      </w:r>
      <w:r w:rsidRPr="00DA2D42">
        <w:t>Об утверждении Порядка оценки бюджетной, социальной и экономической эффективности предоставляемых (планируемых к предоставлению) налоговых льгот</w:t>
      </w:r>
      <w:proofErr w:type="gramStart"/>
      <w:r>
        <w:t>»</w:t>
      </w:r>
      <w:proofErr w:type="gramEnd"/>
      <w:r>
        <w:t xml:space="preserve"> э</w:t>
      </w:r>
      <w:r w:rsidR="004B626C">
        <w:t>кономическая эффективность в отношении учреждений, финансируемых за счет средств бюджета района или Ханты-Мансийского автономного округа – Югры, а также некоммерческих организаций, не рассчитывается.</w:t>
      </w:r>
    </w:p>
    <w:p w:rsidR="004B626C" w:rsidRDefault="00820133" w:rsidP="004B626C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</w:t>
      </w:r>
      <w:r w:rsidR="00DA2D42" w:rsidRPr="002F549B">
        <w:rPr>
          <w:sz w:val="28"/>
          <w:szCs w:val="28"/>
        </w:rPr>
        <w:t>эффективность налоговых льгот по земельному налогу для юридических лиц за 201</w:t>
      </w:r>
      <w:r w:rsidR="00906C00">
        <w:rPr>
          <w:sz w:val="28"/>
          <w:szCs w:val="28"/>
        </w:rPr>
        <w:t>7</w:t>
      </w:r>
      <w:r w:rsidR="00DA2D42" w:rsidRPr="002F549B">
        <w:rPr>
          <w:sz w:val="28"/>
          <w:szCs w:val="28"/>
        </w:rPr>
        <w:t xml:space="preserve"> год может быть признана положительной. </w:t>
      </w:r>
    </w:p>
    <w:p w:rsidR="006D43AF" w:rsidRPr="006D43AF" w:rsidRDefault="006D43AF" w:rsidP="00820133">
      <w:pPr>
        <w:tabs>
          <w:tab w:val="num" w:pos="0"/>
        </w:tabs>
        <w:autoSpaceDE w:val="0"/>
        <w:autoSpaceDN w:val="0"/>
        <w:adjustRightInd w:val="0"/>
        <w:spacing w:line="259" w:lineRule="auto"/>
        <w:ind w:firstLine="709"/>
        <w:jc w:val="both"/>
        <w:rPr>
          <w:color w:val="FF0000"/>
          <w:sz w:val="28"/>
          <w:szCs w:val="28"/>
        </w:rPr>
      </w:pPr>
      <w:r w:rsidRPr="00820133">
        <w:rPr>
          <w:sz w:val="28"/>
          <w:szCs w:val="28"/>
        </w:rPr>
        <w:t xml:space="preserve">Учитывая, что действующие налоговые льготы предусматривают </w:t>
      </w:r>
      <w:r w:rsidR="00820133">
        <w:rPr>
          <w:sz w:val="28"/>
          <w:szCs w:val="28"/>
        </w:rPr>
        <w:t xml:space="preserve">исключение двойного счета финансовых потоков </w:t>
      </w:r>
      <w:r w:rsidRPr="00820133">
        <w:rPr>
          <w:sz w:val="28"/>
          <w:szCs w:val="28"/>
        </w:rPr>
        <w:t>бюджетная эффективность налоговых льгот по земельному на</w:t>
      </w:r>
      <w:r w:rsidR="00906C00">
        <w:rPr>
          <w:sz w:val="28"/>
          <w:szCs w:val="28"/>
        </w:rPr>
        <w:t>логу для юридических лиц за 2017</w:t>
      </w:r>
      <w:r w:rsidRPr="00820133">
        <w:rPr>
          <w:sz w:val="28"/>
          <w:szCs w:val="28"/>
        </w:rPr>
        <w:t xml:space="preserve"> год может быть признана положительной, внесения изменений в решение Думы </w:t>
      </w:r>
      <w:r w:rsidR="00820133">
        <w:rPr>
          <w:sz w:val="28"/>
          <w:szCs w:val="28"/>
        </w:rPr>
        <w:t>Нижневартовского района</w:t>
      </w:r>
      <w:r w:rsidRPr="00820133">
        <w:rPr>
          <w:sz w:val="28"/>
          <w:szCs w:val="28"/>
        </w:rPr>
        <w:t xml:space="preserve"> </w:t>
      </w:r>
      <w:r w:rsidR="00887B2A" w:rsidRPr="00790AD0">
        <w:rPr>
          <w:sz w:val="28"/>
          <w:szCs w:val="28"/>
        </w:rPr>
        <w:t xml:space="preserve">от 19 марта 2015 г. </w:t>
      </w:r>
      <w:r w:rsidR="00887B2A">
        <w:rPr>
          <w:sz w:val="28"/>
          <w:szCs w:val="28"/>
        </w:rPr>
        <w:t>№</w:t>
      </w:r>
      <w:r w:rsidR="00887B2A" w:rsidRPr="00790AD0">
        <w:rPr>
          <w:sz w:val="28"/>
          <w:szCs w:val="28"/>
        </w:rPr>
        <w:t xml:space="preserve"> 632</w:t>
      </w:r>
      <w:r w:rsidR="00887B2A">
        <w:rPr>
          <w:sz w:val="28"/>
          <w:szCs w:val="28"/>
        </w:rPr>
        <w:t xml:space="preserve"> «</w:t>
      </w:r>
      <w:r w:rsidR="00887B2A" w:rsidRPr="00790AD0">
        <w:rPr>
          <w:sz w:val="28"/>
          <w:szCs w:val="28"/>
        </w:rPr>
        <w:t>О земельном налоге</w:t>
      </w:r>
      <w:r w:rsidR="00887B2A">
        <w:rPr>
          <w:sz w:val="28"/>
          <w:szCs w:val="28"/>
        </w:rPr>
        <w:t>»</w:t>
      </w:r>
      <w:r w:rsidR="00887B2A">
        <w:t xml:space="preserve"> </w:t>
      </w:r>
      <w:r w:rsidR="00887B2A" w:rsidRPr="00887B2A">
        <w:rPr>
          <w:sz w:val="28"/>
          <w:szCs w:val="28"/>
        </w:rPr>
        <w:t>(</w:t>
      </w:r>
      <w:r w:rsidR="00887B2A" w:rsidRPr="00887B2A">
        <w:rPr>
          <w:rFonts w:eastAsiaTheme="minorHAnsi"/>
          <w:sz w:val="28"/>
          <w:szCs w:val="28"/>
          <w:lang w:eastAsia="en-US"/>
        </w:rPr>
        <w:t>в ред. решений Думы Нижневартовского района от 17.11.2015 № 721</w:t>
      </w:r>
      <w:hyperlink r:id="rId13" w:history="1"/>
      <w:r w:rsidR="00887B2A" w:rsidRPr="00887B2A">
        <w:rPr>
          <w:rFonts w:eastAsiaTheme="minorHAnsi"/>
          <w:sz w:val="28"/>
          <w:szCs w:val="28"/>
          <w:lang w:eastAsia="en-US"/>
        </w:rPr>
        <w:t>, от 02.05.2017 № 150</w:t>
      </w:r>
      <w:r w:rsidR="00887B2A" w:rsidRPr="00887B2A">
        <w:rPr>
          <w:sz w:val="28"/>
          <w:szCs w:val="28"/>
        </w:rPr>
        <w:t>)</w:t>
      </w:r>
      <w:r w:rsidRPr="00820133">
        <w:rPr>
          <w:sz w:val="28"/>
          <w:szCs w:val="28"/>
        </w:rPr>
        <w:t xml:space="preserve"> в части установленных налоговых льгот не требуется. </w:t>
      </w:r>
      <w:r w:rsidRPr="006D43AF">
        <w:rPr>
          <w:color w:val="FF0000"/>
          <w:sz w:val="28"/>
          <w:szCs w:val="28"/>
        </w:rPr>
        <w:tab/>
      </w:r>
    </w:p>
    <w:p w:rsidR="00B758C3" w:rsidRDefault="00B758C3" w:rsidP="006D43AF">
      <w:pPr>
        <w:tabs>
          <w:tab w:val="num" w:pos="0"/>
        </w:tabs>
        <w:autoSpaceDE w:val="0"/>
        <w:autoSpaceDN w:val="0"/>
        <w:adjustRightInd w:val="0"/>
        <w:spacing w:line="254" w:lineRule="auto"/>
        <w:jc w:val="both"/>
        <w:rPr>
          <w:color w:val="FF0000"/>
          <w:sz w:val="20"/>
          <w:szCs w:val="20"/>
        </w:rPr>
      </w:pPr>
    </w:p>
    <w:p w:rsidR="00B758C3" w:rsidRPr="00B758C3" w:rsidRDefault="00B758C3" w:rsidP="00B758C3">
      <w:pPr>
        <w:rPr>
          <w:sz w:val="28"/>
          <w:szCs w:val="28"/>
        </w:rPr>
      </w:pPr>
      <w:r w:rsidRPr="00B758C3">
        <w:rPr>
          <w:sz w:val="28"/>
          <w:szCs w:val="28"/>
        </w:rPr>
        <w:t>Начальник отдела доходов бюджета</w:t>
      </w:r>
    </w:p>
    <w:p w:rsidR="00B758C3" w:rsidRPr="00B758C3" w:rsidRDefault="00B758C3" w:rsidP="00B758C3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B758C3">
        <w:rPr>
          <w:sz w:val="28"/>
          <w:szCs w:val="28"/>
        </w:rPr>
        <w:t xml:space="preserve">епартамента финансов </w:t>
      </w:r>
    </w:p>
    <w:p w:rsidR="00B758C3" w:rsidRPr="00B758C3" w:rsidRDefault="00B758C3" w:rsidP="00B758C3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B758C3">
        <w:rPr>
          <w:sz w:val="28"/>
          <w:szCs w:val="28"/>
        </w:rPr>
        <w:t>дминистрации р</w:t>
      </w:r>
      <w:r>
        <w:rPr>
          <w:sz w:val="28"/>
          <w:szCs w:val="28"/>
        </w:rPr>
        <w:t>а</w:t>
      </w:r>
      <w:r w:rsidRPr="00B758C3">
        <w:rPr>
          <w:sz w:val="28"/>
          <w:szCs w:val="28"/>
        </w:rPr>
        <w:t>йона</w:t>
      </w:r>
      <w:r>
        <w:rPr>
          <w:sz w:val="28"/>
          <w:szCs w:val="28"/>
        </w:rPr>
        <w:t xml:space="preserve">                                                                               Е. А. Мажорова</w:t>
      </w:r>
    </w:p>
    <w:p w:rsidR="00B758C3" w:rsidRDefault="00B758C3" w:rsidP="00B758C3">
      <w:pPr>
        <w:rPr>
          <w:sz w:val="20"/>
          <w:szCs w:val="20"/>
        </w:rPr>
      </w:pPr>
    </w:p>
    <w:p w:rsidR="006D43AF" w:rsidRPr="00B758C3" w:rsidRDefault="006D43AF" w:rsidP="00B758C3">
      <w:pPr>
        <w:rPr>
          <w:sz w:val="20"/>
          <w:szCs w:val="20"/>
        </w:rPr>
        <w:sectPr w:rsidR="006D43AF" w:rsidRPr="00B758C3" w:rsidSect="00576253">
          <w:footerReference w:type="even" r:id="rId14"/>
          <w:footerReference w:type="default" r:id="rId15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tbl>
      <w:tblPr>
        <w:tblW w:w="16266" w:type="dxa"/>
        <w:tblInd w:w="123" w:type="dxa"/>
        <w:tblLook w:val="04A0" w:firstRow="1" w:lastRow="0" w:firstColumn="1" w:lastColumn="0" w:noHBand="0" w:noVBand="1"/>
      </w:tblPr>
      <w:tblGrid>
        <w:gridCol w:w="5193"/>
        <w:gridCol w:w="1353"/>
        <w:gridCol w:w="1251"/>
        <w:gridCol w:w="3685"/>
        <w:gridCol w:w="1134"/>
        <w:gridCol w:w="3650"/>
      </w:tblGrid>
      <w:tr w:rsidR="006D43AF" w:rsidTr="00011741">
        <w:trPr>
          <w:trHeight w:val="301"/>
        </w:trPr>
        <w:tc>
          <w:tcPr>
            <w:tcW w:w="162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C3" w:rsidRDefault="00B758C3" w:rsidP="001800D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D43AF" w:rsidRPr="00846666" w:rsidRDefault="006D43AF" w:rsidP="001800D3">
            <w:pPr>
              <w:jc w:val="right"/>
              <w:rPr>
                <w:color w:val="000000"/>
                <w:sz w:val="20"/>
                <w:szCs w:val="20"/>
              </w:rPr>
            </w:pPr>
            <w:r w:rsidRPr="00846666">
              <w:rPr>
                <w:color w:val="000000"/>
                <w:sz w:val="20"/>
                <w:szCs w:val="20"/>
              </w:rPr>
              <w:t>приложение к аналитической справке</w:t>
            </w:r>
          </w:p>
          <w:p w:rsidR="006D43AF" w:rsidRDefault="006D43AF" w:rsidP="001800D3">
            <w:pPr>
              <w:jc w:val="center"/>
              <w:rPr>
                <w:color w:val="000000"/>
              </w:rPr>
            </w:pPr>
          </w:p>
          <w:p w:rsidR="006D43AF" w:rsidRDefault="006D43AF" w:rsidP="00403C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видах налоговых льгот по местным налогам за 201</w:t>
            </w:r>
            <w:r w:rsidR="00403C1D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год в соответствии с решениями, </w:t>
            </w:r>
          </w:p>
        </w:tc>
      </w:tr>
      <w:tr w:rsidR="006D43AF" w:rsidTr="00011741">
        <w:trPr>
          <w:trHeight w:val="265"/>
        </w:trPr>
        <w:tc>
          <w:tcPr>
            <w:tcW w:w="162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3AF" w:rsidRDefault="00011741" w:rsidP="00887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6D43AF">
              <w:rPr>
                <w:color w:val="000000"/>
              </w:rPr>
              <w:t>ринятыми</w:t>
            </w:r>
            <w:r w:rsidR="00887B2A">
              <w:rPr>
                <w:color w:val="000000"/>
              </w:rPr>
              <w:t xml:space="preserve"> представительным</w:t>
            </w:r>
            <w:r w:rsidR="006D43AF">
              <w:rPr>
                <w:color w:val="000000"/>
              </w:rPr>
              <w:t xml:space="preserve"> органом </w:t>
            </w:r>
            <w:r w:rsidR="00887B2A">
              <w:rPr>
                <w:color w:val="000000"/>
              </w:rPr>
              <w:t>Нижневартовского района</w:t>
            </w:r>
          </w:p>
        </w:tc>
      </w:tr>
      <w:tr w:rsidR="006D43AF" w:rsidTr="00011741">
        <w:trPr>
          <w:trHeight w:val="192"/>
        </w:trPr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3AF" w:rsidRDefault="006D43AF" w:rsidP="001800D3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3AF" w:rsidRDefault="006D43AF" w:rsidP="001800D3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3AF" w:rsidRDefault="006D43AF" w:rsidP="001800D3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3AF" w:rsidRDefault="006D43AF" w:rsidP="001800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3AF" w:rsidRDefault="006D43AF" w:rsidP="001800D3">
            <w:pPr>
              <w:rPr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3AF" w:rsidRDefault="006D43AF" w:rsidP="001800D3">
            <w:pPr>
              <w:rPr>
                <w:sz w:val="20"/>
                <w:szCs w:val="20"/>
              </w:rPr>
            </w:pPr>
          </w:p>
        </w:tc>
      </w:tr>
      <w:tr w:rsidR="006D43AF" w:rsidTr="00011741">
        <w:trPr>
          <w:trHeight w:val="795"/>
        </w:trPr>
        <w:tc>
          <w:tcPr>
            <w:tcW w:w="6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3AF" w:rsidRPr="00846666" w:rsidRDefault="006D43AF" w:rsidP="001800D3">
            <w:pPr>
              <w:jc w:val="center"/>
              <w:rPr>
                <w:color w:val="000000"/>
                <w:sz w:val="20"/>
                <w:szCs w:val="20"/>
              </w:rPr>
            </w:pPr>
            <w:r w:rsidRPr="00846666">
              <w:rPr>
                <w:color w:val="000000"/>
                <w:sz w:val="20"/>
                <w:szCs w:val="20"/>
              </w:rPr>
              <w:t>Вид налоговой льготы (категория налогоплательщиков, которым установлена льгота)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AF" w:rsidRPr="00846666" w:rsidRDefault="006D43AF" w:rsidP="001800D3">
            <w:pPr>
              <w:jc w:val="center"/>
              <w:rPr>
                <w:color w:val="000000"/>
                <w:sz w:val="20"/>
                <w:szCs w:val="20"/>
              </w:rPr>
            </w:pPr>
            <w:r w:rsidRPr="00846666">
              <w:rPr>
                <w:color w:val="000000"/>
                <w:sz w:val="20"/>
                <w:szCs w:val="20"/>
              </w:rPr>
              <w:t>Размер налоговой льготы (%)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AF" w:rsidRPr="00846666" w:rsidRDefault="006D43AF" w:rsidP="001800D3">
            <w:pPr>
              <w:jc w:val="center"/>
              <w:rPr>
                <w:color w:val="000000"/>
                <w:sz w:val="20"/>
                <w:szCs w:val="20"/>
              </w:rPr>
            </w:pPr>
            <w:r w:rsidRPr="00846666">
              <w:rPr>
                <w:color w:val="000000"/>
                <w:sz w:val="20"/>
                <w:szCs w:val="20"/>
              </w:rPr>
              <w:t>НПА, которым установлена налоговая льгота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AF" w:rsidRPr="00846666" w:rsidRDefault="006D43AF" w:rsidP="001800D3">
            <w:pPr>
              <w:jc w:val="center"/>
              <w:rPr>
                <w:color w:val="000000"/>
                <w:sz w:val="20"/>
                <w:szCs w:val="20"/>
              </w:rPr>
            </w:pPr>
            <w:r w:rsidRPr="00846666">
              <w:rPr>
                <w:color w:val="000000"/>
                <w:sz w:val="20"/>
                <w:szCs w:val="20"/>
              </w:rPr>
              <w:t xml:space="preserve">Сумма             </w:t>
            </w:r>
            <w:proofErr w:type="gramStart"/>
            <w:r w:rsidRPr="00846666">
              <w:rPr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846666">
              <w:rPr>
                <w:color w:val="000000"/>
                <w:sz w:val="20"/>
                <w:szCs w:val="20"/>
              </w:rPr>
              <w:t>тыс. руб.)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AF" w:rsidRPr="00846666" w:rsidRDefault="006D43AF" w:rsidP="001800D3">
            <w:pPr>
              <w:jc w:val="center"/>
              <w:rPr>
                <w:color w:val="000000"/>
                <w:sz w:val="20"/>
                <w:szCs w:val="20"/>
              </w:rPr>
            </w:pPr>
            <w:r w:rsidRPr="00846666">
              <w:rPr>
                <w:color w:val="000000"/>
                <w:sz w:val="20"/>
                <w:szCs w:val="20"/>
              </w:rPr>
              <w:t>Заключение об эффективности налоговой льготы</w:t>
            </w:r>
          </w:p>
        </w:tc>
      </w:tr>
      <w:tr w:rsidR="006D43AF" w:rsidTr="00011741">
        <w:trPr>
          <w:trHeight w:val="361"/>
        </w:trPr>
        <w:tc>
          <w:tcPr>
            <w:tcW w:w="16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AF" w:rsidRPr="00846666" w:rsidRDefault="006D43AF" w:rsidP="001800D3">
            <w:pPr>
              <w:jc w:val="center"/>
              <w:rPr>
                <w:color w:val="000000"/>
              </w:rPr>
            </w:pPr>
            <w:r w:rsidRPr="00846666">
              <w:rPr>
                <w:color w:val="000000"/>
              </w:rPr>
              <w:t>Земельный налог</w:t>
            </w:r>
          </w:p>
        </w:tc>
      </w:tr>
      <w:tr w:rsidR="006D43AF" w:rsidTr="00011741">
        <w:trPr>
          <w:trHeight w:val="275"/>
        </w:trPr>
        <w:tc>
          <w:tcPr>
            <w:tcW w:w="16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3AF" w:rsidRPr="00846666" w:rsidRDefault="006D43AF" w:rsidP="00011741">
            <w:pPr>
              <w:jc w:val="center"/>
              <w:rPr>
                <w:color w:val="000000"/>
                <w:sz w:val="20"/>
                <w:szCs w:val="20"/>
              </w:rPr>
            </w:pPr>
            <w:r w:rsidRPr="00846666">
              <w:rPr>
                <w:color w:val="000000"/>
                <w:sz w:val="20"/>
                <w:szCs w:val="20"/>
              </w:rPr>
              <w:t>освобождение от уплаты налога следующих категорий налогоплательщиков:</w:t>
            </w:r>
          </w:p>
        </w:tc>
      </w:tr>
      <w:tr w:rsidR="00887B2A" w:rsidTr="00011741">
        <w:trPr>
          <w:trHeight w:val="1176"/>
        </w:trPr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B2A" w:rsidRDefault="00887B2A" w:rsidP="00887B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Учреждения района, финансируемые полностью или частично (в том числе в виде субсидий) за счет средств бюджета Нижневартовского района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2A" w:rsidRPr="00846666" w:rsidRDefault="00887B2A" w:rsidP="00887B2A">
            <w:pPr>
              <w:rPr>
                <w:color w:val="000000"/>
                <w:sz w:val="20"/>
                <w:szCs w:val="20"/>
              </w:rPr>
            </w:pPr>
            <w:r w:rsidRPr="00846666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2A" w:rsidRPr="00846666" w:rsidRDefault="00887B2A" w:rsidP="00887B2A">
            <w:pPr>
              <w:jc w:val="right"/>
              <w:rPr>
                <w:color w:val="000000"/>
              </w:rPr>
            </w:pPr>
            <w:r w:rsidRPr="00846666">
              <w:rPr>
                <w:color w:val="000000"/>
              </w:rPr>
              <w:t>100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2A" w:rsidRPr="00846666" w:rsidRDefault="00887B2A" w:rsidP="00887B2A">
            <w:pPr>
              <w:rPr>
                <w:color w:val="000000"/>
                <w:sz w:val="20"/>
                <w:szCs w:val="20"/>
              </w:rPr>
            </w:pPr>
            <w:r w:rsidRPr="00820133">
              <w:rPr>
                <w:sz w:val="28"/>
                <w:szCs w:val="28"/>
              </w:rPr>
              <w:t xml:space="preserve">решение Думы </w:t>
            </w:r>
            <w:r>
              <w:rPr>
                <w:sz w:val="28"/>
                <w:szCs w:val="28"/>
              </w:rPr>
              <w:t>Нижневартовского района</w:t>
            </w:r>
            <w:r w:rsidRPr="00820133">
              <w:rPr>
                <w:sz w:val="28"/>
                <w:szCs w:val="28"/>
              </w:rPr>
              <w:t xml:space="preserve"> </w:t>
            </w:r>
            <w:r w:rsidRPr="00790AD0">
              <w:rPr>
                <w:sz w:val="28"/>
                <w:szCs w:val="28"/>
              </w:rPr>
              <w:t xml:space="preserve">от 19 марта 2015 г. </w:t>
            </w:r>
            <w:r>
              <w:rPr>
                <w:sz w:val="28"/>
                <w:szCs w:val="28"/>
              </w:rPr>
              <w:t>№</w:t>
            </w:r>
            <w:r w:rsidRPr="00790AD0">
              <w:rPr>
                <w:sz w:val="28"/>
                <w:szCs w:val="28"/>
              </w:rPr>
              <w:t xml:space="preserve"> 632</w:t>
            </w:r>
            <w:r>
              <w:rPr>
                <w:sz w:val="28"/>
                <w:szCs w:val="28"/>
              </w:rPr>
              <w:t xml:space="preserve"> «</w:t>
            </w:r>
            <w:r w:rsidRPr="00790AD0">
              <w:rPr>
                <w:sz w:val="28"/>
                <w:szCs w:val="28"/>
              </w:rPr>
              <w:t>О земельном налоге</w:t>
            </w:r>
            <w:r>
              <w:rPr>
                <w:sz w:val="28"/>
                <w:szCs w:val="28"/>
              </w:rPr>
              <w:t>»</w:t>
            </w:r>
            <w:r>
              <w:t xml:space="preserve"> </w:t>
            </w:r>
            <w:r w:rsidRPr="00887B2A">
              <w:rPr>
                <w:sz w:val="28"/>
                <w:szCs w:val="28"/>
              </w:rPr>
              <w:t>(</w:t>
            </w:r>
            <w:r w:rsidRPr="00887B2A">
              <w:rPr>
                <w:rFonts w:eastAsiaTheme="minorHAnsi"/>
                <w:sz w:val="28"/>
                <w:szCs w:val="28"/>
                <w:lang w:eastAsia="en-US"/>
              </w:rPr>
              <w:t>в ред. решений Думы Нижневартовского района от 17.11.2015 № 721</w:t>
            </w:r>
            <w:hyperlink r:id="rId16" w:history="1"/>
            <w:r w:rsidRPr="00887B2A">
              <w:rPr>
                <w:rFonts w:eastAsiaTheme="minorHAnsi"/>
                <w:sz w:val="28"/>
                <w:szCs w:val="28"/>
                <w:lang w:eastAsia="en-US"/>
              </w:rPr>
              <w:t>, от 02.05.2017 № 150</w:t>
            </w:r>
            <w:r w:rsidRPr="00887B2A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2A" w:rsidRPr="00846666" w:rsidRDefault="003C2741" w:rsidP="00887B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</w:t>
            </w:r>
            <w:r w:rsidR="00011741">
              <w:rPr>
                <w:color w:val="000000"/>
              </w:rPr>
              <w:t>,0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2A" w:rsidRPr="00846666" w:rsidRDefault="00887B2A" w:rsidP="00011741">
            <w:pPr>
              <w:rPr>
                <w:color w:val="000000"/>
                <w:sz w:val="20"/>
                <w:szCs w:val="20"/>
              </w:rPr>
            </w:pPr>
            <w:r w:rsidRPr="00846666">
              <w:rPr>
                <w:color w:val="000000"/>
                <w:sz w:val="20"/>
                <w:szCs w:val="20"/>
              </w:rPr>
              <w:t xml:space="preserve">Действующие налоговые льготы предусматривают </w:t>
            </w:r>
            <w:r w:rsidR="00011741">
              <w:rPr>
                <w:color w:val="000000"/>
                <w:sz w:val="20"/>
                <w:szCs w:val="20"/>
              </w:rPr>
              <w:t>исключение двойного счета</w:t>
            </w:r>
            <w:r w:rsidRPr="00846666">
              <w:rPr>
                <w:color w:val="000000"/>
                <w:sz w:val="20"/>
                <w:szCs w:val="20"/>
              </w:rPr>
              <w:t xml:space="preserve"> финансовых потоков. Льготы признаны эффективными.</w:t>
            </w:r>
          </w:p>
        </w:tc>
      </w:tr>
      <w:tr w:rsidR="006D43AF" w:rsidTr="00011741">
        <w:trPr>
          <w:trHeight w:val="1199"/>
        </w:trPr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AF" w:rsidRPr="00887B2A" w:rsidRDefault="00887B2A" w:rsidP="001800D3">
            <w:pPr>
              <w:rPr>
                <w:color w:val="000000"/>
              </w:rPr>
            </w:pPr>
            <w:r w:rsidRPr="00887B2A">
              <w:rPr>
                <w:color w:val="000000"/>
              </w:rPr>
              <w:t>Неработающие пенсионеры в отношении одного земельного участка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AF" w:rsidRPr="00846666" w:rsidRDefault="006D43AF" w:rsidP="001800D3">
            <w:pPr>
              <w:rPr>
                <w:color w:val="000000"/>
                <w:sz w:val="20"/>
                <w:szCs w:val="20"/>
              </w:rPr>
            </w:pPr>
            <w:r w:rsidRPr="00846666">
              <w:rPr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AF" w:rsidRPr="00846666" w:rsidRDefault="00011741" w:rsidP="001800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3AF" w:rsidRPr="00846666" w:rsidRDefault="006D43AF" w:rsidP="00180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AF" w:rsidRPr="00846666" w:rsidRDefault="003C2741" w:rsidP="001800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="00011741">
              <w:rPr>
                <w:color w:val="000000"/>
              </w:rPr>
              <w:t>,0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AF" w:rsidRPr="00846666" w:rsidRDefault="00011741" w:rsidP="001800D3">
            <w:pPr>
              <w:rPr>
                <w:color w:val="000000"/>
                <w:sz w:val="20"/>
                <w:szCs w:val="20"/>
              </w:rPr>
            </w:pPr>
            <w:r w:rsidRPr="00846666">
              <w:rPr>
                <w:color w:val="000000"/>
                <w:sz w:val="20"/>
                <w:szCs w:val="20"/>
              </w:rPr>
              <w:t>Действующие налоговые льготы имеют социальную направленность, и социальная эффективность от пользования льготой физическими лицами имеет положительный результат. Льготы признаны эффективными.</w:t>
            </w:r>
          </w:p>
        </w:tc>
      </w:tr>
      <w:tr w:rsidR="006D43AF" w:rsidTr="00011741">
        <w:trPr>
          <w:trHeight w:val="361"/>
        </w:trPr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3AF" w:rsidRPr="00846666" w:rsidRDefault="006D43AF" w:rsidP="001800D3">
            <w:pPr>
              <w:rPr>
                <w:color w:val="000000"/>
                <w:sz w:val="20"/>
                <w:szCs w:val="20"/>
              </w:rPr>
            </w:pPr>
            <w:r w:rsidRPr="00846666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AF" w:rsidRPr="00846666" w:rsidRDefault="003C2741" w:rsidP="001800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</w:t>
            </w:r>
            <w:r w:rsidR="00011741">
              <w:rPr>
                <w:color w:val="000000"/>
              </w:rPr>
              <w:t>,0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AF" w:rsidRPr="00846666" w:rsidRDefault="006D43AF" w:rsidP="001800D3">
            <w:pPr>
              <w:rPr>
                <w:color w:val="000000"/>
                <w:sz w:val="20"/>
                <w:szCs w:val="20"/>
              </w:rPr>
            </w:pPr>
            <w:r w:rsidRPr="008466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43AF" w:rsidTr="00011741">
        <w:trPr>
          <w:trHeight w:val="289"/>
        </w:trPr>
        <w:tc>
          <w:tcPr>
            <w:tcW w:w="16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3AF" w:rsidRPr="00846666" w:rsidRDefault="006D43AF" w:rsidP="001800D3">
            <w:pPr>
              <w:jc w:val="center"/>
              <w:rPr>
                <w:color w:val="000000"/>
              </w:rPr>
            </w:pPr>
            <w:r w:rsidRPr="00846666">
              <w:rPr>
                <w:color w:val="000000"/>
              </w:rPr>
              <w:t>Налог на имущество физических лиц</w:t>
            </w:r>
          </w:p>
        </w:tc>
      </w:tr>
      <w:tr w:rsidR="006D43AF" w:rsidTr="00011741">
        <w:trPr>
          <w:trHeight w:val="277"/>
        </w:trPr>
        <w:tc>
          <w:tcPr>
            <w:tcW w:w="16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3AF" w:rsidRPr="00011741" w:rsidRDefault="00011741" w:rsidP="001800D3">
            <w:pPr>
              <w:jc w:val="center"/>
              <w:rPr>
                <w:color w:val="000000"/>
              </w:rPr>
            </w:pPr>
            <w:r w:rsidRPr="00011741">
              <w:rPr>
                <w:color w:val="000000"/>
              </w:rPr>
              <w:t xml:space="preserve">Налоговые льготы </w:t>
            </w:r>
            <w:r w:rsidRPr="00011741">
              <w:t>Решением Думы Нижневартовского района от 28.11.2014 № 587 «О налоге на имущество физических лиц»</w:t>
            </w:r>
            <w:r>
              <w:t xml:space="preserve"> не установлены</w:t>
            </w:r>
          </w:p>
        </w:tc>
      </w:tr>
      <w:tr w:rsidR="006D43AF" w:rsidTr="00011741">
        <w:trPr>
          <w:trHeight w:val="361"/>
        </w:trPr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3AF" w:rsidRPr="00846666" w:rsidRDefault="006D43AF" w:rsidP="001800D3">
            <w:pPr>
              <w:rPr>
                <w:color w:val="000000"/>
                <w:sz w:val="20"/>
                <w:szCs w:val="20"/>
              </w:rPr>
            </w:pPr>
            <w:r w:rsidRPr="00846666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AF" w:rsidRPr="00B548EF" w:rsidRDefault="003C2741" w:rsidP="001800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</w:t>
            </w:r>
            <w:r w:rsidR="00011741">
              <w:rPr>
                <w:color w:val="000000"/>
              </w:rPr>
              <w:t>,0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AF" w:rsidRPr="00846666" w:rsidRDefault="006D43AF" w:rsidP="001800D3">
            <w:pPr>
              <w:rPr>
                <w:color w:val="000000"/>
                <w:sz w:val="20"/>
                <w:szCs w:val="20"/>
              </w:rPr>
            </w:pPr>
            <w:r w:rsidRPr="0084666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6D43AF" w:rsidRDefault="006D43AF" w:rsidP="006D43AF">
      <w:pPr>
        <w:tabs>
          <w:tab w:val="num" w:pos="0"/>
        </w:tabs>
        <w:autoSpaceDE w:val="0"/>
        <w:autoSpaceDN w:val="0"/>
        <w:adjustRightInd w:val="0"/>
        <w:spacing w:line="254" w:lineRule="auto"/>
        <w:jc w:val="both"/>
        <w:rPr>
          <w:sz w:val="20"/>
          <w:szCs w:val="20"/>
        </w:rPr>
      </w:pPr>
    </w:p>
    <w:p w:rsidR="00DA2D42" w:rsidRDefault="00DA2D42"/>
    <w:sectPr w:rsidR="00DA2D42" w:rsidSect="00846666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B72" w:rsidRDefault="0030365E">
      <w:r>
        <w:separator/>
      </w:r>
    </w:p>
  </w:endnote>
  <w:endnote w:type="continuationSeparator" w:id="0">
    <w:p w:rsidR="00C96B72" w:rsidRDefault="0030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AF" w:rsidRDefault="006D43AF" w:rsidP="0011170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43AF" w:rsidRDefault="006D43AF" w:rsidP="0093149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AF" w:rsidRDefault="006D43AF" w:rsidP="0011170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03C1D">
      <w:rPr>
        <w:rStyle w:val="a6"/>
        <w:noProof/>
      </w:rPr>
      <w:t>8</w:t>
    </w:r>
    <w:r>
      <w:rPr>
        <w:rStyle w:val="a6"/>
      </w:rPr>
      <w:fldChar w:fldCharType="end"/>
    </w:r>
  </w:p>
  <w:p w:rsidR="006D43AF" w:rsidRDefault="006D43AF" w:rsidP="0093149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B72" w:rsidRDefault="0030365E">
      <w:r>
        <w:separator/>
      </w:r>
    </w:p>
  </w:footnote>
  <w:footnote w:type="continuationSeparator" w:id="0">
    <w:p w:rsidR="00C96B72" w:rsidRDefault="0030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8E9"/>
    <w:multiLevelType w:val="hybridMultilevel"/>
    <w:tmpl w:val="8C204F5A"/>
    <w:lvl w:ilvl="0" w:tplc="A3021360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42"/>
    <w:rsid w:val="00011741"/>
    <w:rsid w:val="00014899"/>
    <w:rsid w:val="000D01F8"/>
    <w:rsid w:val="00132297"/>
    <w:rsid w:val="0014716E"/>
    <w:rsid w:val="00217C43"/>
    <w:rsid w:val="002240C8"/>
    <w:rsid w:val="002370B8"/>
    <w:rsid w:val="00243219"/>
    <w:rsid w:val="0030365E"/>
    <w:rsid w:val="003C2741"/>
    <w:rsid w:val="003E6221"/>
    <w:rsid w:val="00403C1D"/>
    <w:rsid w:val="004B626C"/>
    <w:rsid w:val="00512A61"/>
    <w:rsid w:val="0055267B"/>
    <w:rsid w:val="005E338A"/>
    <w:rsid w:val="006C0835"/>
    <w:rsid w:val="006D43AF"/>
    <w:rsid w:val="00790AD0"/>
    <w:rsid w:val="00820133"/>
    <w:rsid w:val="0086283B"/>
    <w:rsid w:val="00887B2A"/>
    <w:rsid w:val="00906C00"/>
    <w:rsid w:val="00A95DC8"/>
    <w:rsid w:val="00AC16B4"/>
    <w:rsid w:val="00AC303B"/>
    <w:rsid w:val="00AD395F"/>
    <w:rsid w:val="00B758C3"/>
    <w:rsid w:val="00BB04CF"/>
    <w:rsid w:val="00BB102D"/>
    <w:rsid w:val="00BE5B23"/>
    <w:rsid w:val="00C832C3"/>
    <w:rsid w:val="00C96B72"/>
    <w:rsid w:val="00DA2D42"/>
    <w:rsid w:val="00E16A8F"/>
    <w:rsid w:val="00EC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A9BA0-6171-4B5C-A438-3F0ECFC1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2D42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DA2D4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A2D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A2D42"/>
  </w:style>
  <w:style w:type="paragraph" w:customStyle="1" w:styleId="ConsPlusNormal">
    <w:name w:val="ConsPlusNormal"/>
    <w:qFormat/>
    <w:rsid w:val="00DA2D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90A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174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17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CF4F3F17E7C63222F1D6014A747456DCA545CFDC8FBF832A92F84BFFG6FEI" TargetMode="External"/><Relationship Id="rId13" Type="http://schemas.openxmlformats.org/officeDocument/2006/relationships/hyperlink" Target="consultantplus://offline/ref=8E436B55FBF926C6165414A3CAF1B9120B230D3D794B9CB2B6AD8896120CD5812D6D3A235A76E8329437813A072E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436B55FBF926C6165414A3CAF1B9120B230D3D794B9CB2B6AD8896120CD5812D6D3A235A76E8329437813A072EF" TargetMode="External"/><Relationship Id="rId12" Type="http://schemas.openxmlformats.org/officeDocument/2006/relationships/hyperlink" Target="consultantplus://offline/ref=8E436B55FBF926C6165414A3CAF1B9120B230D3D794B9CB2B6AD8896120CD5812D6D3A235A76E8329437813A072E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E436B55FBF926C6165414A3CAF1B9120B230D3D794B9CB2B6AD8896120CD5812D6D3A235A76E8329437813A072E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6CF4F3F17E7C63222F1D6014A747456DCA545CCD58EBF832A92F84BFFG6FE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56CF4F3F17E7C63222F1D6014A747456DCAA4ECFD78BBF832A92F84BFFG6F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CF4F3F17E7C63222F1D6014A747456DCAE4BC3D587E28922CBF449GFF8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2794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Мажорова Елена Анатольевна</dc:creator>
  <cp:keywords/>
  <dc:description/>
  <cp:lastModifiedBy>Мажорова Елена Анатольевна</cp:lastModifiedBy>
  <cp:revision>3</cp:revision>
  <cp:lastPrinted>2018-09-26T06:33:00Z</cp:lastPrinted>
  <dcterms:created xsi:type="dcterms:W3CDTF">2018-09-26T06:54:00Z</dcterms:created>
  <dcterms:modified xsi:type="dcterms:W3CDTF">2018-10-04T07:20:00Z</dcterms:modified>
</cp:coreProperties>
</file>