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67FC8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582A6E">
              <w:t>21.01.2013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582A6E">
            <w:pPr>
              <w:jc w:val="right"/>
            </w:pPr>
            <w:r w:rsidRPr="00360CF1">
              <w:t xml:space="preserve">№ </w:t>
            </w:r>
            <w:r w:rsidR="00582A6E">
              <w:t>54</w:t>
            </w:r>
            <w:r w:rsidRPr="00360CF1">
              <w:t xml:space="preserve">          </w:t>
            </w:r>
          </w:p>
        </w:tc>
      </w:tr>
    </w:tbl>
    <w:p w:rsidR="00024BE6" w:rsidRPr="00C9128A" w:rsidRDefault="00024BE6" w:rsidP="00C9128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C9128A" w:rsidRPr="00C9128A" w:rsidRDefault="00C9128A" w:rsidP="00C9128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40"/>
        </w:rPr>
      </w:pPr>
    </w:p>
    <w:p w:rsidR="00C9128A" w:rsidRDefault="00C9128A" w:rsidP="00C9128A">
      <w:pPr>
        <w:pStyle w:val="ConsPlusTitle"/>
        <w:tabs>
          <w:tab w:val="left" w:pos="4962"/>
          <w:tab w:val="left" w:pos="5040"/>
        </w:tabs>
        <w:ind w:right="5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новление администрации района от 08.09.2010 № 1330 «Об утве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ждении муниципальной целевой программы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«Мероприятия в о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ласти градостроительной де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тельности Нижневартовского района на 2011–2012 годы» </w:t>
      </w:r>
    </w:p>
    <w:p w:rsidR="00C9128A" w:rsidRPr="00C9128A" w:rsidRDefault="00C9128A" w:rsidP="00C9128A">
      <w:pPr>
        <w:pStyle w:val="ConsPlusNormal"/>
        <w:widowControl/>
        <w:tabs>
          <w:tab w:val="left" w:pos="4536"/>
        </w:tabs>
        <w:ind w:right="510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28A" w:rsidRPr="00C9128A" w:rsidRDefault="00C9128A" w:rsidP="00C9128A">
      <w:pPr>
        <w:pStyle w:val="ConsPlusNormal"/>
        <w:widowControl/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8A" w:rsidRDefault="00C9128A" w:rsidP="00C9128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целях уточнения объемов финансирования мероприятий муниципал</w:t>
      </w:r>
      <w:r>
        <w:t>ь</w:t>
      </w:r>
      <w:r>
        <w:t>ной целевой программы «Мероприятия в области градостроительной деятел</w:t>
      </w:r>
      <w:r>
        <w:t>ь</w:t>
      </w:r>
      <w:r>
        <w:t>ности Нижневартовского района на 2011–2012 годы», в связи с эффективным использованием средств, выделенных на реализацию программы:</w:t>
      </w:r>
      <w:proofErr w:type="gramEnd"/>
    </w:p>
    <w:p w:rsidR="00C9128A" w:rsidRPr="00C9128A" w:rsidRDefault="00C9128A" w:rsidP="00C9128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9128A" w:rsidRDefault="00C9128A" w:rsidP="00C9128A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района                           от 08.09.2010 № 1330 «Об утверждении муниципальной целевой программы «Мероприятия в области градостроительной деятельности Нижневартовского района на 2011–2012 годы»:</w:t>
      </w:r>
    </w:p>
    <w:p w:rsidR="00C9128A" w:rsidRDefault="00C9128A" w:rsidP="00C9128A">
      <w:pPr>
        <w:widowControl w:val="0"/>
        <w:ind w:firstLine="709"/>
        <w:jc w:val="both"/>
      </w:pPr>
      <w:r>
        <w:t xml:space="preserve">1.1. Пункты 3, 4 постановления изложить в новой редакции: </w:t>
      </w:r>
    </w:p>
    <w:p w:rsidR="00C9128A" w:rsidRDefault="00C9128A" w:rsidP="00C9128A">
      <w:pPr>
        <w:widowControl w:val="0"/>
        <w:ind w:firstLine="709"/>
        <w:jc w:val="both"/>
      </w:pPr>
      <w:r>
        <w:t>«3. Общий объем финансирования, необходимый для реализации мун</w:t>
      </w:r>
      <w:r>
        <w:t>и</w:t>
      </w:r>
      <w:r>
        <w:t xml:space="preserve">ципальной целевой программы составляет </w:t>
      </w:r>
      <w:r w:rsidRPr="0067648F">
        <w:t>6 521,87</w:t>
      </w:r>
      <w:r>
        <w:t xml:space="preserve"> тыс. руб., в том числе: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в 2011 году – 3 258,38 тыс. руб., в том числе: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бюджет района – 1 177,28 тыс. руб.;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бюджет округа – 2 081,10 тыс. руб.; 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в 2012 году – </w:t>
      </w:r>
      <w:r w:rsidRPr="0067648F">
        <w:rPr>
          <w:bCs/>
          <w:lang w:eastAsia="en-US"/>
        </w:rPr>
        <w:t>3 263,49</w:t>
      </w:r>
      <w:r w:rsidRPr="00CB687E">
        <w:rPr>
          <w:b/>
          <w:lang w:eastAsia="en-US"/>
        </w:rPr>
        <w:t xml:space="preserve"> </w:t>
      </w:r>
      <w:r>
        <w:rPr>
          <w:lang w:eastAsia="en-US"/>
        </w:rPr>
        <w:t>тыс. руб., в том числе: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бюджет района – </w:t>
      </w:r>
      <w:r w:rsidRPr="0067648F">
        <w:rPr>
          <w:lang w:eastAsia="en-US"/>
        </w:rPr>
        <w:t>1 387,19</w:t>
      </w:r>
      <w:r>
        <w:rPr>
          <w:lang w:eastAsia="en-US"/>
        </w:rPr>
        <w:t xml:space="preserve"> тыс. руб.;</w:t>
      </w:r>
    </w:p>
    <w:p w:rsidR="00C9128A" w:rsidRDefault="00C9128A" w:rsidP="00C9128A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бюджет округа – </w:t>
      </w:r>
      <w:r w:rsidRPr="0067648F">
        <w:rPr>
          <w:lang w:eastAsia="en-US"/>
        </w:rPr>
        <w:t>1 876,30</w:t>
      </w:r>
      <w:r>
        <w:rPr>
          <w:lang w:eastAsia="en-US"/>
        </w:rPr>
        <w:t xml:space="preserve"> тыс. руб.</w:t>
      </w:r>
    </w:p>
    <w:p w:rsidR="00C9128A" w:rsidRDefault="00C9128A" w:rsidP="00C9128A">
      <w:pPr>
        <w:ind w:firstLine="709"/>
        <w:jc w:val="both"/>
      </w:pPr>
      <w:r>
        <w:t>Источниками финансирования муниципальной целевой программы явл</w:t>
      </w:r>
      <w:r>
        <w:t>я</w:t>
      </w:r>
      <w:r>
        <w:t>ются бюджет района, бюджет автономного округа, кроме этого возможно уч</w:t>
      </w:r>
      <w:r>
        <w:t>а</w:t>
      </w:r>
      <w:r>
        <w:t xml:space="preserve">стие бюджетов поселений района. </w:t>
      </w:r>
    </w:p>
    <w:p w:rsidR="00C9128A" w:rsidRDefault="00C9128A" w:rsidP="00C9128A">
      <w:pPr>
        <w:ind w:firstLine="709"/>
        <w:jc w:val="both"/>
      </w:pPr>
      <w:r>
        <w:lastRenderedPageBreak/>
        <w:t>Объемы финансирования могут подлежать корректировке в течение ф</w:t>
      </w:r>
      <w:r>
        <w:t>и</w:t>
      </w:r>
      <w:r>
        <w:t>нансового года, исходя из возможностей бюджета района, поселений, посту</w:t>
      </w:r>
      <w:r>
        <w:t>п</w:t>
      </w:r>
      <w:r>
        <w:t>ления субсидий на градостроительную деятельность из бюджета автономного округа, путем уточнения по суммам и мероприятиям.</w:t>
      </w:r>
    </w:p>
    <w:p w:rsidR="00C9128A" w:rsidRDefault="00C9128A" w:rsidP="00C912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</w:t>
      </w:r>
      <w:proofErr w:type="gramStart"/>
      <w:r>
        <w:t xml:space="preserve">Департаменту финансов администрации района (А.И. </w:t>
      </w:r>
      <w:proofErr w:type="spellStart"/>
      <w:r>
        <w:t>Кидяева</w:t>
      </w:r>
      <w:proofErr w:type="spellEnd"/>
      <w:r>
        <w:t>) вкл</w:t>
      </w:r>
      <w:r>
        <w:t>ю</w:t>
      </w:r>
      <w:r>
        <w:t>чить муниципальную целевую программу «Мероприятия в области градостро</w:t>
      </w:r>
      <w:r>
        <w:t>и</w:t>
      </w:r>
      <w:r>
        <w:t>тельной деятельности Нижневартовского района на 2011–2012 годы» в пер</w:t>
      </w:r>
      <w:r>
        <w:t>е</w:t>
      </w:r>
      <w:r>
        <w:t>чень целевых программ района на 2011–2012 годы, подлежащих финансиров</w:t>
      </w:r>
      <w:r>
        <w:t>а</w:t>
      </w:r>
      <w:r>
        <w:t>нию, для утверждения предельных объемов ассигнований в бюджете района      в 2011 году – 3 258,38 тыс. руб., в 2012 году –</w:t>
      </w:r>
      <w:r w:rsidRPr="00F97D74">
        <w:rPr>
          <w:b/>
        </w:rPr>
        <w:t xml:space="preserve"> </w:t>
      </w:r>
      <w:r w:rsidRPr="0067648F">
        <w:t>3 263,49</w:t>
      </w:r>
      <w:r>
        <w:t xml:space="preserve"> тыс. руб.».</w:t>
      </w:r>
      <w:proofErr w:type="gramEnd"/>
    </w:p>
    <w:p w:rsidR="00C9128A" w:rsidRDefault="00C9128A" w:rsidP="00C9128A">
      <w:pPr>
        <w:widowControl w:val="0"/>
        <w:ind w:firstLine="709"/>
        <w:jc w:val="both"/>
      </w:pPr>
      <w:r>
        <w:t>1.2. В разделе «</w:t>
      </w:r>
      <w:r>
        <w:rPr>
          <w:lang w:eastAsia="en-US"/>
        </w:rPr>
        <w:t>Объемы и источники финансирования целевой програ</w:t>
      </w:r>
      <w:r>
        <w:rPr>
          <w:lang w:eastAsia="en-US"/>
        </w:rPr>
        <w:t>м</w:t>
      </w:r>
      <w:r>
        <w:rPr>
          <w:lang w:eastAsia="en-US"/>
        </w:rPr>
        <w:t xml:space="preserve">мы» </w:t>
      </w:r>
      <w:r>
        <w:t>Паспорта муниципальной целевой программы абзац 1 изложить в новой редакции: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t>«</w:t>
      </w:r>
      <w:r>
        <w:rPr>
          <w:lang w:eastAsia="en-US"/>
        </w:rPr>
        <w:t xml:space="preserve">общий объем финансирования на 2011–2012 годы составляет </w:t>
      </w:r>
      <w:r w:rsidRPr="0067648F">
        <w:rPr>
          <w:lang w:eastAsia="en-US"/>
        </w:rPr>
        <w:t>6 521,87</w:t>
      </w:r>
      <w:r>
        <w:rPr>
          <w:lang w:eastAsia="en-US"/>
        </w:rPr>
        <w:t xml:space="preserve"> тыс. руб., в том числе: 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на 2011 год – 3 258,38 тыс. руб., в том числе: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за счет бюджета района – 1 177,28 тыс. руб.;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за счет бюджета округа – 2 081,10 тыс. руб.; 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на 2012 год – </w:t>
      </w:r>
      <w:r w:rsidRPr="0067648F">
        <w:rPr>
          <w:bCs/>
          <w:lang w:eastAsia="en-US"/>
        </w:rPr>
        <w:t>3 263,49</w:t>
      </w:r>
      <w:r>
        <w:rPr>
          <w:lang w:eastAsia="en-US"/>
        </w:rPr>
        <w:t xml:space="preserve"> тыс. руб., в том числе: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>за счет бюджета района –</w:t>
      </w:r>
      <w:r w:rsidRPr="0067648F">
        <w:rPr>
          <w:lang w:eastAsia="en-US"/>
        </w:rPr>
        <w:t>1 387,19</w:t>
      </w:r>
      <w:r>
        <w:rPr>
          <w:lang w:eastAsia="en-US"/>
        </w:rPr>
        <w:t xml:space="preserve"> тыс. руб.;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за счет бюджета округа – </w:t>
      </w:r>
      <w:r w:rsidRPr="0067648F">
        <w:rPr>
          <w:lang w:eastAsia="en-US"/>
        </w:rPr>
        <w:t>1 876,30</w:t>
      </w:r>
      <w:r>
        <w:rPr>
          <w:lang w:eastAsia="en-US"/>
        </w:rPr>
        <w:t xml:space="preserve"> тыс. руб.».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1.3. Пункт 4.1. раздела </w:t>
      </w:r>
      <w:r>
        <w:rPr>
          <w:lang w:val="en-US" w:eastAsia="en-US"/>
        </w:rPr>
        <w:t>IV</w:t>
      </w:r>
      <w:r>
        <w:rPr>
          <w:lang w:eastAsia="en-US"/>
        </w:rPr>
        <w:t>. «Обоснование ресурсного обеспечения цел</w:t>
      </w:r>
      <w:r>
        <w:rPr>
          <w:lang w:eastAsia="en-US"/>
        </w:rPr>
        <w:t>е</w:t>
      </w:r>
      <w:r>
        <w:rPr>
          <w:lang w:eastAsia="en-US"/>
        </w:rPr>
        <w:t>вой программы» изложить в новой редакции:</w:t>
      </w:r>
    </w:p>
    <w:p w:rsidR="00C9128A" w:rsidRDefault="00C9128A" w:rsidP="00C9128A">
      <w:pPr>
        <w:widowControl w:val="0"/>
        <w:ind w:firstLine="709"/>
        <w:jc w:val="both"/>
      </w:pPr>
      <w:r>
        <w:t xml:space="preserve">«4.1. Общий объем финансирования на 2011–2012 годы составляет </w:t>
      </w:r>
      <w:r w:rsidRPr="0067648F">
        <w:rPr>
          <w:bCs/>
        </w:rPr>
        <w:t>6 521,87</w:t>
      </w:r>
      <w:r>
        <w:rPr>
          <w:bCs/>
        </w:rPr>
        <w:t xml:space="preserve"> </w:t>
      </w:r>
      <w:r>
        <w:t xml:space="preserve">тыс. руб., в том числе: </w:t>
      </w:r>
    </w:p>
    <w:p w:rsidR="00C9128A" w:rsidRDefault="00C9128A" w:rsidP="00C9128A">
      <w:pPr>
        <w:widowControl w:val="0"/>
        <w:ind w:firstLine="709"/>
        <w:jc w:val="both"/>
      </w:pPr>
      <w:r>
        <w:t>на 2011 год – 3 258,38 тыс. руб., в том числе:</w:t>
      </w:r>
    </w:p>
    <w:p w:rsidR="00C9128A" w:rsidRDefault="00C9128A" w:rsidP="00C9128A">
      <w:pPr>
        <w:widowControl w:val="0"/>
        <w:ind w:firstLine="709"/>
        <w:jc w:val="both"/>
      </w:pPr>
      <w:r>
        <w:t xml:space="preserve">за счет бюджета района </w:t>
      </w:r>
      <w:r>
        <w:rPr>
          <w:b/>
        </w:rPr>
        <w:t xml:space="preserve">– </w:t>
      </w:r>
      <w:r>
        <w:t>1177,28 тыс. руб.;</w:t>
      </w:r>
    </w:p>
    <w:p w:rsidR="00C9128A" w:rsidRDefault="00C9128A" w:rsidP="00C9128A">
      <w:pPr>
        <w:widowControl w:val="0"/>
        <w:ind w:firstLine="709"/>
        <w:jc w:val="both"/>
      </w:pPr>
      <w:r>
        <w:t xml:space="preserve">за счет бюджета округа – 2 081,10 тыс. руб.; 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на 2012 год – </w:t>
      </w:r>
      <w:r w:rsidRPr="0067648F">
        <w:rPr>
          <w:bCs/>
          <w:lang w:eastAsia="en-US"/>
        </w:rPr>
        <w:t>3 263,49</w:t>
      </w:r>
      <w:r>
        <w:rPr>
          <w:lang w:eastAsia="en-US"/>
        </w:rPr>
        <w:t xml:space="preserve"> тыс. руб., в том числе: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за счет бюджета района – </w:t>
      </w:r>
      <w:r w:rsidRPr="0067648F">
        <w:rPr>
          <w:lang w:eastAsia="en-US"/>
        </w:rPr>
        <w:t>1 387,19</w:t>
      </w:r>
      <w:r>
        <w:rPr>
          <w:lang w:eastAsia="en-US"/>
        </w:rPr>
        <w:t xml:space="preserve"> тыс. руб.;</w:t>
      </w:r>
    </w:p>
    <w:p w:rsidR="00C9128A" w:rsidRDefault="00C9128A" w:rsidP="00C9128A">
      <w:pPr>
        <w:widowControl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за счет бюджета округа – </w:t>
      </w:r>
      <w:r w:rsidRPr="0067648F">
        <w:rPr>
          <w:lang w:eastAsia="en-US"/>
        </w:rPr>
        <w:t>1 876,30</w:t>
      </w:r>
      <w:r>
        <w:rPr>
          <w:lang w:eastAsia="en-US"/>
        </w:rPr>
        <w:t xml:space="preserve"> тыс. руб.».</w:t>
      </w:r>
    </w:p>
    <w:p w:rsidR="00C9128A" w:rsidRDefault="00C9128A" w:rsidP="00C9128A">
      <w:pPr>
        <w:widowControl w:val="0"/>
        <w:ind w:firstLine="709"/>
        <w:jc w:val="both"/>
      </w:pPr>
      <w:r>
        <w:t>1.4. Приложение 1 к муниципальной целевой программе «Мероприятия    в области градостроительной деятельности Нижневартовского района на 2011–2012 годы» изложить в новой редакции согласно приложению.</w:t>
      </w:r>
    </w:p>
    <w:p w:rsidR="00C9128A" w:rsidRPr="00C9128A" w:rsidRDefault="00C9128A" w:rsidP="00C9128A">
      <w:pPr>
        <w:widowControl w:val="0"/>
        <w:ind w:firstLine="709"/>
        <w:jc w:val="both"/>
      </w:pPr>
    </w:p>
    <w:p w:rsidR="00C9128A" w:rsidRDefault="00C9128A" w:rsidP="00C91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экономики администрации района (А.Ю.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внести изменения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 муниципальных целевых программ Нижневартовского ра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28A" w:rsidRPr="00C9128A" w:rsidRDefault="00C9128A" w:rsidP="00C91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8A" w:rsidRDefault="00C9128A" w:rsidP="00C91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Пресс-службе администрации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(А.Н. Королёва) </w:t>
      </w:r>
      <w:r>
        <w:rPr>
          <w:rFonts w:ascii="Times New Roman" w:hAnsi="Times New Roman" w:cs="Times New Roman"/>
          <w:sz w:val="28"/>
          <w:szCs w:val="28"/>
        </w:rPr>
        <w:t>опубликовать постановление в районной газете «Новости Приобья».</w:t>
      </w:r>
    </w:p>
    <w:p w:rsidR="00C9128A" w:rsidRPr="00C9128A" w:rsidRDefault="00C9128A" w:rsidP="00C91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28A" w:rsidRDefault="00C9128A" w:rsidP="00C91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района.</w:t>
      </w:r>
    </w:p>
    <w:p w:rsidR="00C9128A" w:rsidRDefault="00C9128A" w:rsidP="00C912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района по жилищно-коммунальному хозяйству и 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тельству В.И.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Пегишева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28A" w:rsidRPr="00C9128A" w:rsidRDefault="00C9128A" w:rsidP="00C9128A">
      <w:pPr>
        <w:rPr>
          <w:color w:val="000000"/>
        </w:rPr>
      </w:pPr>
    </w:p>
    <w:p w:rsidR="00C9128A" w:rsidRPr="00C9128A" w:rsidRDefault="00C9128A" w:rsidP="00C9128A">
      <w:pPr>
        <w:rPr>
          <w:color w:val="000000"/>
        </w:rPr>
      </w:pPr>
    </w:p>
    <w:p w:rsidR="00C9128A" w:rsidRPr="00C9128A" w:rsidRDefault="00C9128A" w:rsidP="00C9128A">
      <w:pPr>
        <w:rPr>
          <w:color w:val="000000"/>
        </w:rPr>
      </w:pPr>
    </w:p>
    <w:p w:rsidR="00C9128A" w:rsidRDefault="000F3ABB" w:rsidP="00C9128A">
      <w:pPr>
        <w:rPr>
          <w:color w:val="000000"/>
        </w:rPr>
      </w:pPr>
      <w:r>
        <w:rPr>
          <w:color w:val="000000"/>
        </w:rPr>
        <w:t>Г</w:t>
      </w:r>
      <w:r w:rsidR="00C9128A">
        <w:rPr>
          <w:color w:val="000000"/>
        </w:rPr>
        <w:t>лав</w:t>
      </w:r>
      <w:r>
        <w:rPr>
          <w:color w:val="000000"/>
        </w:rPr>
        <w:t>а</w:t>
      </w:r>
      <w:r w:rsidR="00C9128A">
        <w:rPr>
          <w:color w:val="000000"/>
        </w:rPr>
        <w:t xml:space="preserve"> администрации района                      </w:t>
      </w:r>
      <w:r>
        <w:rPr>
          <w:color w:val="000000"/>
        </w:rPr>
        <w:t xml:space="preserve">                              </w:t>
      </w:r>
      <w:r w:rsidR="00C9128A">
        <w:rPr>
          <w:color w:val="000000"/>
        </w:rPr>
        <w:t xml:space="preserve">        </w:t>
      </w:r>
      <w:r>
        <w:rPr>
          <w:color w:val="000000"/>
        </w:rPr>
        <w:t>Б.А. Саломатин</w:t>
      </w:r>
    </w:p>
    <w:p w:rsidR="00C9128A" w:rsidRDefault="00C9128A" w:rsidP="00C9128A">
      <w:pPr>
        <w:sectPr w:rsidR="00C9128A" w:rsidSect="00C9128A">
          <w:head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9128A" w:rsidRDefault="00C9128A" w:rsidP="00C9128A">
      <w:pPr>
        <w:tabs>
          <w:tab w:val="left" w:pos="10470"/>
        </w:tabs>
        <w:ind w:left="9356"/>
        <w:jc w:val="both"/>
      </w:pPr>
      <w:r>
        <w:lastRenderedPageBreak/>
        <w:t>Приложение к постановлению</w:t>
      </w:r>
    </w:p>
    <w:p w:rsidR="00C9128A" w:rsidRDefault="00C9128A" w:rsidP="00C9128A">
      <w:pPr>
        <w:tabs>
          <w:tab w:val="left" w:pos="10470"/>
        </w:tabs>
        <w:ind w:left="9356"/>
        <w:jc w:val="both"/>
      </w:pPr>
      <w:r>
        <w:t>администрации района</w:t>
      </w:r>
    </w:p>
    <w:p w:rsidR="00C9128A" w:rsidRDefault="00C9128A" w:rsidP="00C9128A">
      <w:pPr>
        <w:tabs>
          <w:tab w:val="left" w:pos="10470"/>
        </w:tabs>
        <w:ind w:left="9356"/>
        <w:jc w:val="both"/>
      </w:pPr>
      <w:r>
        <w:t xml:space="preserve">от </w:t>
      </w:r>
      <w:r w:rsidR="00582A6E">
        <w:t>21.01.2013</w:t>
      </w:r>
      <w:r>
        <w:t xml:space="preserve"> № </w:t>
      </w:r>
      <w:r w:rsidR="00582A6E">
        <w:t>54</w:t>
      </w:r>
    </w:p>
    <w:p w:rsidR="00C9128A" w:rsidRDefault="00C9128A" w:rsidP="00C9128A">
      <w:pPr>
        <w:tabs>
          <w:tab w:val="left" w:pos="10470"/>
        </w:tabs>
        <w:ind w:left="9356"/>
        <w:jc w:val="both"/>
      </w:pPr>
    </w:p>
    <w:p w:rsidR="00C9128A" w:rsidRDefault="00C9128A" w:rsidP="00C9128A">
      <w:pPr>
        <w:tabs>
          <w:tab w:val="left" w:pos="10470"/>
        </w:tabs>
        <w:ind w:left="9356"/>
        <w:jc w:val="both"/>
      </w:pPr>
      <w:r>
        <w:t>«Приложение 1 к муниципальной целевой программе «Мероприятия в области град</w:t>
      </w:r>
      <w:r>
        <w:t>о</w:t>
      </w:r>
      <w:r>
        <w:t>строительной деятельности Нижневарто</w:t>
      </w:r>
      <w:r>
        <w:t>в</w:t>
      </w:r>
      <w:r>
        <w:t>ского района» на 2011–2012 годы»</w:t>
      </w:r>
    </w:p>
    <w:p w:rsidR="00C9128A" w:rsidRPr="00C9128A" w:rsidRDefault="00C9128A" w:rsidP="00C9128A">
      <w:pPr>
        <w:rPr>
          <w:szCs w:val="24"/>
        </w:rPr>
      </w:pPr>
    </w:p>
    <w:p w:rsidR="00C9128A" w:rsidRPr="00C9128A" w:rsidRDefault="00C9128A" w:rsidP="00C9128A">
      <w:pPr>
        <w:rPr>
          <w:szCs w:val="24"/>
        </w:rPr>
      </w:pPr>
    </w:p>
    <w:p w:rsidR="00C9128A" w:rsidRDefault="00C9128A" w:rsidP="00C9128A">
      <w:pPr>
        <w:jc w:val="center"/>
        <w:rPr>
          <w:b/>
          <w:szCs w:val="24"/>
        </w:rPr>
      </w:pPr>
      <w:r>
        <w:rPr>
          <w:b/>
          <w:szCs w:val="24"/>
        </w:rPr>
        <w:t>Перечень основных программных мероприятий муниципальной целевой программы</w:t>
      </w:r>
    </w:p>
    <w:p w:rsidR="00C9128A" w:rsidRDefault="00C9128A" w:rsidP="00C9128A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«Мероприятия в области градостроительной деятельности Нижневартовского района на 2011–2012 годы»</w:t>
      </w:r>
    </w:p>
    <w:p w:rsidR="00C9128A" w:rsidRDefault="00C9128A" w:rsidP="00C9128A">
      <w:pPr>
        <w:widowControl w:val="0"/>
        <w:jc w:val="center"/>
        <w:rPr>
          <w:b/>
          <w:szCs w:val="24"/>
        </w:rPr>
      </w:pPr>
    </w:p>
    <w:tbl>
      <w:tblPr>
        <w:tblStyle w:val="ab"/>
        <w:tblpPr w:leftFromText="180" w:rightFromText="180" w:vertAnchor="text" w:horzAnchor="margin" w:tblpXSpec="right" w:tblpY="247"/>
        <w:tblW w:w="15864" w:type="dxa"/>
        <w:tblLayout w:type="fixed"/>
        <w:tblLook w:val="01E0"/>
      </w:tblPr>
      <w:tblGrid>
        <w:gridCol w:w="850"/>
        <w:gridCol w:w="5495"/>
        <w:gridCol w:w="2268"/>
        <w:gridCol w:w="1701"/>
        <w:gridCol w:w="1134"/>
        <w:gridCol w:w="1134"/>
        <w:gridCol w:w="1134"/>
        <w:gridCol w:w="2148"/>
      </w:tblGrid>
      <w:tr w:rsidR="00C9128A" w:rsidTr="00C9128A">
        <w:tc>
          <w:tcPr>
            <w:tcW w:w="850" w:type="dxa"/>
            <w:vMerge w:val="restart"/>
            <w:hideMark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495" w:type="dxa"/>
            <w:vMerge w:val="restart"/>
            <w:hideMark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Программы</w:t>
            </w:r>
          </w:p>
        </w:tc>
        <w:tc>
          <w:tcPr>
            <w:tcW w:w="2268" w:type="dxa"/>
            <w:vMerge w:val="restart"/>
            <w:hideMark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Исполнитель</w:t>
            </w:r>
          </w:p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(Соисполнитель)</w:t>
            </w:r>
          </w:p>
        </w:tc>
        <w:tc>
          <w:tcPr>
            <w:tcW w:w="1701" w:type="dxa"/>
            <w:vMerge w:val="restart"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выполнения</w:t>
            </w:r>
          </w:p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3"/>
            <w:hideMark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Финансовые затраты </w:t>
            </w:r>
          </w:p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реализацию (тыс. руб.)</w:t>
            </w:r>
          </w:p>
        </w:tc>
        <w:tc>
          <w:tcPr>
            <w:tcW w:w="2148" w:type="dxa"/>
            <w:vMerge w:val="restart"/>
            <w:hideMark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Источники</w:t>
            </w:r>
          </w:p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финансирования</w:t>
            </w:r>
          </w:p>
        </w:tc>
      </w:tr>
      <w:tr w:rsidR="00C9128A" w:rsidTr="00C9128A">
        <w:tc>
          <w:tcPr>
            <w:tcW w:w="850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9128A" w:rsidRDefault="00C9128A" w:rsidP="00C9128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hideMark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148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128A" w:rsidTr="00C9128A">
        <w:trPr>
          <w:trHeight w:val="309"/>
        </w:trPr>
        <w:tc>
          <w:tcPr>
            <w:tcW w:w="850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2011 год</w:t>
            </w:r>
          </w:p>
        </w:tc>
        <w:tc>
          <w:tcPr>
            <w:tcW w:w="1134" w:type="dxa"/>
            <w:hideMark/>
          </w:tcPr>
          <w:p w:rsid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2148" w:type="dxa"/>
            <w:vMerge/>
            <w:hideMark/>
          </w:tcPr>
          <w:p w:rsidR="00C9128A" w:rsidRDefault="00C9128A" w:rsidP="00C9128A">
            <w:pPr>
              <w:widowControl w:val="0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9128A" w:rsidTr="00C9128A">
        <w:tc>
          <w:tcPr>
            <w:tcW w:w="850" w:type="dxa"/>
            <w:hideMark/>
          </w:tcPr>
          <w:p w:rsidR="00C9128A" w:rsidRP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128A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5" w:type="dxa"/>
            <w:hideMark/>
          </w:tcPr>
          <w:p w:rsidR="00C9128A" w:rsidRP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128A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hideMark/>
          </w:tcPr>
          <w:p w:rsidR="00C9128A" w:rsidRP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128A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hideMark/>
          </w:tcPr>
          <w:p w:rsidR="00C9128A" w:rsidRP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128A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128A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128A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128A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C9128A"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C9128A" w:rsidRPr="00C9128A" w:rsidTr="00C9128A">
        <w:trPr>
          <w:trHeight w:val="372"/>
        </w:trPr>
        <w:tc>
          <w:tcPr>
            <w:tcW w:w="15864" w:type="dxa"/>
            <w:gridSpan w:val="8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Цель: соблюдение требований законодательства о градостроительной деятельности, обеспечение устойчивого развития территории района</w:t>
            </w:r>
          </w:p>
        </w:tc>
      </w:tr>
      <w:tr w:rsidR="00C9128A" w:rsidRPr="00C9128A" w:rsidTr="00C9128A">
        <w:trPr>
          <w:trHeight w:val="377"/>
        </w:trPr>
        <w:tc>
          <w:tcPr>
            <w:tcW w:w="15864" w:type="dxa"/>
            <w:gridSpan w:val="8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Задача 1. Приведение графической части проектов к единой системе требований технических условий ведения ИСОГД</w:t>
            </w:r>
          </w:p>
        </w:tc>
      </w:tr>
      <w:tr w:rsidR="00C9128A" w:rsidRPr="00C9128A" w:rsidTr="00C9128A">
        <w:trPr>
          <w:trHeight w:val="276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2268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управление арх</w:t>
            </w:r>
            <w:r w:rsidRPr="00C9128A">
              <w:rPr>
                <w:sz w:val="24"/>
                <w:szCs w:val="24"/>
                <w:lang w:eastAsia="en-US"/>
              </w:rPr>
              <w:t>и</w:t>
            </w:r>
            <w:r w:rsidRPr="00C9128A">
              <w:rPr>
                <w:sz w:val="24"/>
                <w:szCs w:val="24"/>
                <w:lang w:eastAsia="en-US"/>
              </w:rPr>
              <w:t>тектуры и град</w:t>
            </w:r>
            <w:r w:rsidRPr="00C9128A">
              <w:rPr>
                <w:sz w:val="24"/>
                <w:szCs w:val="24"/>
                <w:lang w:eastAsia="en-US"/>
              </w:rPr>
              <w:t>о</w:t>
            </w:r>
            <w:r w:rsidRPr="00C9128A">
              <w:rPr>
                <w:sz w:val="24"/>
                <w:szCs w:val="24"/>
                <w:lang w:eastAsia="en-US"/>
              </w:rPr>
              <w:t xml:space="preserve">строительства </w:t>
            </w:r>
          </w:p>
          <w:p w:rsidR="00AD164E" w:rsidRPr="00C9128A" w:rsidRDefault="00C9128A" w:rsidP="00AD164E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администрации района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управление арх</w:t>
            </w:r>
            <w:r w:rsidRPr="00C9128A">
              <w:rPr>
                <w:sz w:val="24"/>
                <w:szCs w:val="24"/>
                <w:lang w:eastAsia="en-US"/>
              </w:rPr>
              <w:t>и</w:t>
            </w:r>
            <w:r w:rsidRPr="00C9128A">
              <w:rPr>
                <w:sz w:val="24"/>
                <w:szCs w:val="24"/>
                <w:lang w:eastAsia="en-US"/>
              </w:rPr>
              <w:t>тектуры и град</w:t>
            </w:r>
            <w:r w:rsidRPr="00C9128A">
              <w:rPr>
                <w:sz w:val="24"/>
                <w:szCs w:val="24"/>
                <w:lang w:eastAsia="en-US"/>
              </w:rPr>
              <w:t>о</w:t>
            </w:r>
            <w:r w:rsidRPr="00C9128A">
              <w:rPr>
                <w:sz w:val="24"/>
                <w:szCs w:val="24"/>
                <w:lang w:eastAsia="en-US"/>
              </w:rPr>
              <w:t xml:space="preserve">строительства 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администрации района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lastRenderedPageBreak/>
              <w:t>2011 год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2 279,76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663,26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70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1 616,50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377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Комплексный проект системы управления терр</w:t>
            </w:r>
            <w:r w:rsidRPr="00C9128A">
              <w:rPr>
                <w:sz w:val="24"/>
                <w:szCs w:val="24"/>
                <w:lang w:eastAsia="en-US"/>
              </w:rPr>
              <w:t>и</w:t>
            </w:r>
            <w:r w:rsidRPr="00C9128A">
              <w:rPr>
                <w:sz w:val="24"/>
                <w:szCs w:val="24"/>
                <w:lang w:eastAsia="en-US"/>
              </w:rPr>
              <w:t>ториальным развитием сельского поселения Вата:</w:t>
            </w: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2011 год</w:t>
            </w: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Pr="00C9128A" w:rsidRDefault="00AD164E" w:rsidP="00AD16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559,80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327,80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297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232,00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66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Генеральный план</w:t>
            </w: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Default="00AD164E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AD164E" w:rsidRPr="00C9128A" w:rsidRDefault="00AD164E" w:rsidP="00AD164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239,80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66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122,80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66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117,00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167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167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167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286"/>
        </w:trPr>
        <w:tc>
          <w:tcPr>
            <w:tcW w:w="850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5495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Проект </w:t>
            </w:r>
            <w:proofErr w:type="gramStart"/>
            <w:r w:rsidRPr="00C9128A">
              <w:rPr>
                <w:sz w:val="24"/>
                <w:szCs w:val="24"/>
                <w:lang w:eastAsia="en-US"/>
              </w:rPr>
              <w:t>планировки территории деревни Ваты</w:t>
            </w:r>
            <w:proofErr w:type="gramEnd"/>
          </w:p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145,00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400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5495" w:type="dxa"/>
            <w:vMerge w:val="restart"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Комплексный проект системы управления терр</w:t>
            </w:r>
            <w:r w:rsidRPr="00C9128A">
              <w:rPr>
                <w:sz w:val="24"/>
                <w:szCs w:val="24"/>
                <w:lang w:eastAsia="en-US"/>
              </w:rPr>
              <w:t>и</w:t>
            </w:r>
            <w:r w:rsidRPr="00C9128A">
              <w:rPr>
                <w:sz w:val="24"/>
                <w:szCs w:val="24"/>
                <w:lang w:eastAsia="en-US"/>
              </w:rPr>
              <w:t xml:space="preserve">ториальным развитием сельского поселения </w:t>
            </w:r>
            <w:proofErr w:type="spellStart"/>
            <w:r w:rsidRPr="00C9128A">
              <w:rPr>
                <w:sz w:val="24"/>
                <w:szCs w:val="24"/>
                <w:lang w:eastAsia="en-US"/>
              </w:rPr>
              <w:t>П</w:t>
            </w:r>
            <w:r w:rsidRPr="00C9128A">
              <w:rPr>
                <w:sz w:val="24"/>
                <w:szCs w:val="24"/>
                <w:lang w:eastAsia="en-US"/>
              </w:rPr>
              <w:t>о</w:t>
            </w:r>
            <w:r w:rsidRPr="00C9128A">
              <w:rPr>
                <w:sz w:val="24"/>
                <w:szCs w:val="24"/>
                <w:lang w:eastAsia="en-US"/>
              </w:rPr>
              <w:t>кур</w:t>
            </w:r>
            <w:proofErr w:type="spellEnd"/>
            <w:r w:rsidRPr="00C9128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2011–2012 годы </w:t>
            </w:r>
          </w:p>
        </w:tc>
        <w:tc>
          <w:tcPr>
            <w:tcW w:w="1134" w:type="dxa"/>
            <w:vMerge w:val="restart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558,82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186,22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46,70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бюджет района </w:t>
            </w:r>
          </w:p>
        </w:tc>
      </w:tr>
      <w:tr w:rsidR="00C9128A" w:rsidRPr="00C9128A" w:rsidTr="00C9128A">
        <w:trPr>
          <w:trHeight w:val="400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232,60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93,30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widowControl w:val="0"/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Генеральный план</w:t>
            </w: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243,82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142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127,22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124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116,60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66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widowControl w:val="0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66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59,00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108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116,00</w:t>
            </w: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111"/>
        </w:trPr>
        <w:tc>
          <w:tcPr>
            <w:tcW w:w="850" w:type="dxa"/>
            <w:vMerge w:val="restart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5495" w:type="dxa"/>
            <w:vMerge w:val="restart"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Проект планировки территории села </w:t>
            </w:r>
            <w:proofErr w:type="spellStart"/>
            <w:r w:rsidRPr="00C9128A">
              <w:rPr>
                <w:sz w:val="24"/>
                <w:szCs w:val="24"/>
                <w:lang w:eastAsia="en-US"/>
              </w:rPr>
              <w:t>Покур</w:t>
            </w:r>
            <w:proofErr w:type="spellEnd"/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140,00 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115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46,70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105"/>
        </w:trPr>
        <w:tc>
          <w:tcPr>
            <w:tcW w:w="850" w:type="dxa"/>
            <w:vMerge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93,30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400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Комплексный проект системы управления терр</w:t>
            </w:r>
            <w:r w:rsidRPr="00C9128A">
              <w:rPr>
                <w:sz w:val="24"/>
                <w:szCs w:val="24"/>
                <w:lang w:eastAsia="en-US"/>
              </w:rPr>
              <w:t>и</w:t>
            </w:r>
            <w:r w:rsidRPr="00C9128A">
              <w:rPr>
                <w:sz w:val="24"/>
                <w:szCs w:val="24"/>
                <w:lang w:eastAsia="en-US"/>
              </w:rPr>
              <w:t xml:space="preserve">ториальным развитием сельского поселения </w:t>
            </w:r>
            <w:proofErr w:type="spellStart"/>
            <w:r w:rsidRPr="00C9128A">
              <w:rPr>
                <w:sz w:val="24"/>
                <w:szCs w:val="24"/>
                <w:lang w:eastAsia="en-US"/>
              </w:rPr>
              <w:t>Лар</w:t>
            </w:r>
            <w:r w:rsidRPr="00C9128A">
              <w:rPr>
                <w:sz w:val="24"/>
                <w:szCs w:val="24"/>
                <w:lang w:eastAsia="en-US"/>
              </w:rPr>
              <w:t>ь</w:t>
            </w:r>
            <w:r w:rsidRPr="00C9128A">
              <w:rPr>
                <w:sz w:val="24"/>
                <w:szCs w:val="24"/>
                <w:lang w:eastAsia="en-US"/>
              </w:rPr>
              <w:t>як</w:t>
            </w:r>
            <w:proofErr w:type="spellEnd"/>
            <w:r w:rsidRPr="00C9128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1 165,00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388,30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391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776,70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115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1.4.1.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Генеральный план</w:t>
            </w: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450,00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115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119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212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1.4.2.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Правила землепользования и застройки </w:t>
            </w:r>
          </w:p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295,00 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212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98,30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134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196,70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225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1.4.3.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Проекты </w:t>
            </w:r>
            <w:proofErr w:type="gramStart"/>
            <w:r w:rsidRPr="00C9128A">
              <w:rPr>
                <w:sz w:val="24"/>
                <w:szCs w:val="24"/>
                <w:lang w:eastAsia="en-US"/>
              </w:rPr>
              <w:t>планировки территорий населенных пунктов сельского поселения</w:t>
            </w:r>
            <w:proofErr w:type="gramEnd"/>
            <w:r w:rsidRPr="00C9128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128A">
              <w:rPr>
                <w:sz w:val="24"/>
                <w:szCs w:val="24"/>
                <w:lang w:eastAsia="en-US"/>
              </w:rPr>
              <w:t>Ларьяк</w:t>
            </w:r>
            <w:proofErr w:type="spellEnd"/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color w:val="4F81BD" w:themeColor="accen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 xml:space="preserve">420,00 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230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140,00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91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280,00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423"/>
        </w:trPr>
        <w:tc>
          <w:tcPr>
            <w:tcW w:w="8613" w:type="dxa"/>
            <w:gridSpan w:val="3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того</w:t>
            </w:r>
            <w:r w:rsidRPr="00C9128A">
              <w:rPr>
                <w:sz w:val="24"/>
                <w:szCs w:val="24"/>
                <w:lang w:eastAsia="en-US"/>
              </w:rPr>
              <w:t xml:space="preserve"> по задаче 1</w:t>
            </w:r>
          </w:p>
        </w:tc>
        <w:tc>
          <w:tcPr>
            <w:tcW w:w="1701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2011–2012 годы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4 563,38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3 258,38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1 305,00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299"/>
        </w:trPr>
        <w:tc>
          <w:tcPr>
            <w:tcW w:w="8613" w:type="dxa"/>
            <w:gridSpan w:val="3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1 177,28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бюджет района </w:t>
            </w:r>
          </w:p>
        </w:tc>
      </w:tr>
      <w:tr w:rsidR="00C9128A" w:rsidRPr="00C9128A" w:rsidTr="00C9128A">
        <w:trPr>
          <w:trHeight w:val="431"/>
        </w:trPr>
        <w:tc>
          <w:tcPr>
            <w:tcW w:w="8613" w:type="dxa"/>
            <w:gridSpan w:val="3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2 081,10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color w:val="4F81BD" w:themeColor="accen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870,00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701"/>
        </w:trPr>
        <w:tc>
          <w:tcPr>
            <w:tcW w:w="15864" w:type="dxa"/>
            <w:gridSpan w:val="8"/>
            <w:hideMark/>
          </w:tcPr>
          <w:p w:rsidR="00C9128A" w:rsidRPr="00C9128A" w:rsidRDefault="00AD164E" w:rsidP="00AD164E">
            <w:pPr>
              <w:tabs>
                <w:tab w:val="left" w:pos="270"/>
                <w:tab w:val="center" w:pos="782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ab/>
            </w:r>
            <w:r w:rsidR="00C9128A" w:rsidRPr="00C9128A">
              <w:rPr>
                <w:sz w:val="24"/>
                <w:szCs w:val="24"/>
                <w:lang w:eastAsia="en-US"/>
              </w:rPr>
              <w:t xml:space="preserve">Задача 2. Выполнение инженерных изысканий для подготовки документов территориального планирования 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и документации по планировке территории</w:t>
            </w:r>
          </w:p>
        </w:tc>
      </w:tr>
      <w:tr w:rsidR="00C9128A" w:rsidRPr="00C9128A" w:rsidTr="00AD164E">
        <w:trPr>
          <w:trHeight w:val="625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Выполнение топографических съемок территорий городского поселения </w:t>
            </w:r>
            <w:proofErr w:type="spellStart"/>
            <w:r w:rsidRPr="00C9128A">
              <w:rPr>
                <w:sz w:val="24"/>
                <w:szCs w:val="24"/>
                <w:lang w:eastAsia="en-US"/>
              </w:rPr>
              <w:t>Новоаганск</w:t>
            </w:r>
            <w:proofErr w:type="spellEnd"/>
          </w:p>
        </w:tc>
        <w:tc>
          <w:tcPr>
            <w:tcW w:w="2268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управление арх</w:t>
            </w:r>
            <w:r w:rsidRPr="00C9128A">
              <w:rPr>
                <w:sz w:val="24"/>
                <w:szCs w:val="24"/>
                <w:lang w:eastAsia="en-US"/>
              </w:rPr>
              <w:t>и</w:t>
            </w:r>
            <w:r w:rsidRPr="00C9128A">
              <w:rPr>
                <w:sz w:val="24"/>
                <w:szCs w:val="24"/>
                <w:lang w:eastAsia="en-US"/>
              </w:rPr>
              <w:t>тектуры и град</w:t>
            </w:r>
            <w:r w:rsidRPr="00C9128A">
              <w:rPr>
                <w:sz w:val="24"/>
                <w:szCs w:val="24"/>
                <w:lang w:eastAsia="en-US"/>
              </w:rPr>
              <w:t>о</w:t>
            </w:r>
            <w:r w:rsidRPr="00C9128A">
              <w:rPr>
                <w:sz w:val="24"/>
                <w:szCs w:val="24"/>
                <w:lang w:eastAsia="en-US"/>
              </w:rPr>
              <w:t>строительства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 администрации района</w:t>
            </w:r>
          </w:p>
        </w:tc>
        <w:tc>
          <w:tcPr>
            <w:tcW w:w="1701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134" w:type="dxa"/>
            <w:vMerge w:val="restart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1 509,49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1 301,01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268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433,71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278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867,30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260"/>
        </w:trPr>
        <w:tc>
          <w:tcPr>
            <w:tcW w:w="850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495" w:type="dxa"/>
            <w:vMerge w:val="restart"/>
            <w:hideMark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Выполнение топографических съемок территорий городского поселения </w:t>
            </w:r>
            <w:proofErr w:type="spellStart"/>
            <w:r w:rsidRPr="00C9128A">
              <w:rPr>
                <w:sz w:val="24"/>
                <w:szCs w:val="24"/>
                <w:lang w:eastAsia="en-US"/>
              </w:rPr>
              <w:t>Излучинск</w:t>
            </w:r>
            <w:proofErr w:type="spellEnd"/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208,48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123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69,48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269"/>
        </w:trPr>
        <w:tc>
          <w:tcPr>
            <w:tcW w:w="850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5" w:type="dxa"/>
            <w:vMerge/>
          </w:tcPr>
          <w:p w:rsidR="00C9128A" w:rsidRPr="00C9128A" w:rsidRDefault="00C9128A" w:rsidP="00C912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139,00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310"/>
        </w:trPr>
        <w:tc>
          <w:tcPr>
            <w:tcW w:w="8613" w:type="dxa"/>
            <w:gridSpan w:val="3"/>
            <w:vMerge w:val="restart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  <w:r w:rsidRPr="00C9128A">
              <w:rPr>
                <w:sz w:val="24"/>
                <w:szCs w:val="24"/>
                <w:lang w:eastAsia="en-US"/>
              </w:rPr>
              <w:t xml:space="preserve"> по задаче 2</w:t>
            </w:r>
          </w:p>
        </w:tc>
        <w:tc>
          <w:tcPr>
            <w:tcW w:w="1701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134" w:type="dxa"/>
            <w:vMerge w:val="restart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1 509,49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1 509,49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</w:tr>
      <w:tr w:rsidR="00C9128A" w:rsidRPr="00C9128A" w:rsidTr="00C9128A">
        <w:trPr>
          <w:trHeight w:val="285"/>
        </w:trPr>
        <w:tc>
          <w:tcPr>
            <w:tcW w:w="8613" w:type="dxa"/>
            <w:gridSpan w:val="3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503,19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262"/>
        </w:trPr>
        <w:tc>
          <w:tcPr>
            <w:tcW w:w="8613" w:type="dxa"/>
            <w:gridSpan w:val="3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1 006,30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493"/>
        </w:trPr>
        <w:tc>
          <w:tcPr>
            <w:tcW w:w="15864" w:type="dxa"/>
            <w:gridSpan w:val="8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Задача 3. Формирование и развитие культурных и общественных центров поселений </w:t>
            </w:r>
          </w:p>
        </w:tc>
      </w:tr>
      <w:tr w:rsidR="00C9128A" w:rsidRPr="00C9128A" w:rsidTr="00C9128A">
        <w:trPr>
          <w:trHeight w:val="697"/>
        </w:trPr>
        <w:tc>
          <w:tcPr>
            <w:tcW w:w="850" w:type="dxa"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bCs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495" w:type="dxa"/>
          </w:tcPr>
          <w:p w:rsidR="00C9128A" w:rsidRPr="00C9128A" w:rsidRDefault="00C9128A" w:rsidP="00C9128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 w:rsidRPr="00C9128A">
              <w:rPr>
                <w:sz w:val="24"/>
                <w:szCs w:val="24"/>
                <w:lang w:eastAsia="en-US"/>
              </w:rPr>
              <w:t>д</w:t>
            </w:r>
            <w:r w:rsidRPr="00C9128A">
              <w:rPr>
                <w:sz w:val="24"/>
                <w:szCs w:val="24"/>
                <w:lang w:eastAsia="en-US"/>
              </w:rPr>
              <w:t xml:space="preserve">ложения по организации сквера в составе </w:t>
            </w:r>
            <w:proofErr w:type="gramStart"/>
            <w:r w:rsidRPr="00C9128A">
              <w:rPr>
                <w:sz w:val="24"/>
                <w:szCs w:val="24"/>
                <w:lang w:eastAsia="en-US"/>
              </w:rPr>
              <w:t>проекта планировки</w:t>
            </w:r>
            <w:r w:rsidRPr="00C9128A">
              <w:rPr>
                <w:bCs/>
                <w:sz w:val="24"/>
                <w:szCs w:val="24"/>
                <w:lang w:eastAsia="en-US"/>
              </w:rPr>
              <w:t xml:space="preserve"> деревни Ват</w:t>
            </w:r>
            <w:r>
              <w:rPr>
                <w:bCs/>
                <w:sz w:val="24"/>
                <w:szCs w:val="24"/>
                <w:lang w:eastAsia="en-US"/>
              </w:rPr>
              <w:t>ы</w:t>
            </w:r>
            <w:proofErr w:type="gramEnd"/>
            <w:r w:rsidRPr="00C9128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управление арх</w:t>
            </w:r>
            <w:r w:rsidRPr="00C9128A">
              <w:rPr>
                <w:sz w:val="24"/>
                <w:szCs w:val="24"/>
                <w:lang w:eastAsia="en-US"/>
              </w:rPr>
              <w:t>и</w:t>
            </w:r>
            <w:r w:rsidRPr="00C9128A">
              <w:rPr>
                <w:sz w:val="24"/>
                <w:szCs w:val="24"/>
                <w:lang w:eastAsia="en-US"/>
              </w:rPr>
              <w:t>тектуры и град</w:t>
            </w:r>
            <w:r w:rsidRPr="00C9128A">
              <w:rPr>
                <w:sz w:val="24"/>
                <w:szCs w:val="24"/>
                <w:lang w:eastAsia="en-US"/>
              </w:rPr>
              <w:t>о</w:t>
            </w:r>
            <w:r w:rsidRPr="00C9128A">
              <w:rPr>
                <w:sz w:val="24"/>
                <w:szCs w:val="24"/>
                <w:lang w:eastAsia="en-US"/>
              </w:rPr>
              <w:t xml:space="preserve">строительства </w:t>
            </w:r>
          </w:p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администрации района</w:t>
            </w:r>
          </w:p>
        </w:tc>
        <w:tc>
          <w:tcPr>
            <w:tcW w:w="1701" w:type="dxa"/>
            <w:vMerge w:val="restart"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134" w:type="dxa"/>
            <w:vMerge w:val="restart"/>
          </w:tcPr>
          <w:p w:rsidR="00C9128A" w:rsidRPr="00C9128A" w:rsidRDefault="00C9128A" w:rsidP="00C9128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449,00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691"/>
        </w:trPr>
        <w:tc>
          <w:tcPr>
            <w:tcW w:w="850" w:type="dxa"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bCs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495" w:type="dxa"/>
          </w:tcPr>
          <w:p w:rsidR="00C9128A" w:rsidRPr="00C9128A" w:rsidRDefault="00C9128A" w:rsidP="00C9128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Разработка архитектурно-планировочного пре</w:t>
            </w:r>
            <w:r w:rsidRPr="00C9128A">
              <w:rPr>
                <w:sz w:val="24"/>
                <w:szCs w:val="24"/>
                <w:lang w:eastAsia="en-US"/>
              </w:rPr>
              <w:t>д</w:t>
            </w:r>
            <w:r w:rsidRPr="00C9128A">
              <w:rPr>
                <w:sz w:val="24"/>
                <w:szCs w:val="24"/>
                <w:lang w:eastAsia="en-US"/>
              </w:rPr>
              <w:t xml:space="preserve">ложения </w:t>
            </w:r>
            <w:r w:rsidRPr="00C9128A">
              <w:rPr>
                <w:bCs/>
                <w:sz w:val="24"/>
                <w:szCs w:val="24"/>
                <w:lang w:eastAsia="en-US"/>
              </w:rPr>
              <w:t xml:space="preserve"> организации бульвара </w:t>
            </w:r>
            <w:r w:rsidRPr="00C9128A">
              <w:rPr>
                <w:sz w:val="24"/>
                <w:szCs w:val="24"/>
                <w:lang w:eastAsia="en-US"/>
              </w:rPr>
              <w:t>в составе проекта планировки</w:t>
            </w:r>
            <w:r w:rsidRPr="00C9128A">
              <w:rPr>
                <w:bCs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  <w:r w:rsidRPr="00C9128A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9128A">
              <w:rPr>
                <w:bCs/>
                <w:sz w:val="24"/>
                <w:szCs w:val="24"/>
                <w:lang w:eastAsia="en-US"/>
              </w:rPr>
              <w:t>Излучинск</w:t>
            </w:r>
            <w:r>
              <w:rPr>
                <w:bCs/>
                <w:sz w:val="24"/>
                <w:szCs w:val="24"/>
                <w:lang w:eastAsia="en-US"/>
              </w:rPr>
              <w:t>а</w:t>
            </w:r>
            <w:proofErr w:type="spellEnd"/>
            <w:r w:rsidRPr="00C9128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vMerge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274,00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258"/>
        </w:trPr>
        <w:tc>
          <w:tcPr>
            <w:tcW w:w="8613" w:type="dxa"/>
            <w:gridSpan w:val="3"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того</w:t>
            </w:r>
            <w:r w:rsidRPr="00C9128A">
              <w:rPr>
                <w:sz w:val="24"/>
                <w:szCs w:val="24"/>
                <w:lang w:eastAsia="en-US"/>
              </w:rPr>
              <w:t xml:space="preserve"> по задаче 3</w:t>
            </w:r>
          </w:p>
        </w:tc>
        <w:tc>
          <w:tcPr>
            <w:tcW w:w="1701" w:type="dxa"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2012 год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449,00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−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449,00</w:t>
            </w:r>
          </w:p>
        </w:tc>
        <w:tc>
          <w:tcPr>
            <w:tcW w:w="2148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района</w:t>
            </w:r>
          </w:p>
        </w:tc>
      </w:tr>
      <w:tr w:rsidR="00C9128A" w:rsidRPr="00C9128A" w:rsidTr="00C9128A">
        <w:trPr>
          <w:trHeight w:val="225"/>
        </w:trPr>
        <w:tc>
          <w:tcPr>
            <w:tcW w:w="8613" w:type="dxa"/>
            <w:gridSpan w:val="3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bCs/>
                <w:sz w:val="24"/>
                <w:szCs w:val="24"/>
                <w:lang w:eastAsia="en-US"/>
              </w:rPr>
              <w:t>И</w:t>
            </w:r>
            <w:r>
              <w:rPr>
                <w:bCs/>
                <w:sz w:val="24"/>
                <w:szCs w:val="24"/>
                <w:lang w:eastAsia="en-US"/>
              </w:rPr>
              <w:t>того</w:t>
            </w:r>
            <w:r w:rsidRPr="00C9128A">
              <w:rPr>
                <w:bCs/>
                <w:sz w:val="24"/>
                <w:szCs w:val="24"/>
                <w:lang w:eastAsia="en-US"/>
              </w:rPr>
              <w:t xml:space="preserve"> по целевой программе</w:t>
            </w:r>
          </w:p>
        </w:tc>
        <w:tc>
          <w:tcPr>
            <w:tcW w:w="1701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bCs/>
                <w:sz w:val="24"/>
                <w:szCs w:val="24"/>
                <w:lang w:eastAsia="en-US"/>
              </w:rPr>
              <w:t>2011–2012 годы</w:t>
            </w:r>
          </w:p>
        </w:tc>
        <w:tc>
          <w:tcPr>
            <w:tcW w:w="1134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 xml:space="preserve">6 521,87 </w:t>
            </w:r>
          </w:p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3 258,38</w:t>
            </w: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3 263,49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</w:t>
            </w:r>
          </w:p>
        </w:tc>
      </w:tr>
      <w:tr w:rsidR="00C9128A" w:rsidRPr="00C9128A" w:rsidTr="00C9128A">
        <w:trPr>
          <w:trHeight w:val="229"/>
        </w:trPr>
        <w:tc>
          <w:tcPr>
            <w:tcW w:w="8613" w:type="dxa"/>
            <w:gridSpan w:val="3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1 177,28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1 387,19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бюджет района </w:t>
            </w:r>
          </w:p>
        </w:tc>
      </w:tr>
      <w:tr w:rsidR="00C9128A" w:rsidRPr="00C9128A" w:rsidTr="00C9128A">
        <w:trPr>
          <w:trHeight w:val="115"/>
        </w:trPr>
        <w:tc>
          <w:tcPr>
            <w:tcW w:w="8613" w:type="dxa"/>
            <w:gridSpan w:val="3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2 081,10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1 876,30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tr w:rsidR="00C9128A" w:rsidRPr="00C9128A" w:rsidTr="00C9128A">
        <w:trPr>
          <w:trHeight w:val="432"/>
        </w:trPr>
        <w:tc>
          <w:tcPr>
            <w:tcW w:w="6345" w:type="dxa"/>
            <w:gridSpan w:val="2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bCs/>
                <w:sz w:val="24"/>
                <w:szCs w:val="24"/>
                <w:lang w:eastAsia="en-US"/>
              </w:rPr>
              <w:t>В том числе в разрезе исполнителей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bCs/>
                <w:sz w:val="24"/>
                <w:szCs w:val="24"/>
                <w:lang w:eastAsia="en-US"/>
              </w:rPr>
              <w:t>(соисполнителей) программы</w:t>
            </w:r>
          </w:p>
        </w:tc>
        <w:tc>
          <w:tcPr>
            <w:tcW w:w="2268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управление арх</w:t>
            </w:r>
            <w:r w:rsidRPr="00C9128A">
              <w:rPr>
                <w:sz w:val="24"/>
                <w:szCs w:val="24"/>
                <w:lang w:eastAsia="en-US"/>
              </w:rPr>
              <w:t>и</w:t>
            </w:r>
            <w:r w:rsidRPr="00C9128A">
              <w:rPr>
                <w:sz w:val="24"/>
                <w:szCs w:val="24"/>
                <w:lang w:eastAsia="en-US"/>
              </w:rPr>
              <w:t>тектуры и град</w:t>
            </w:r>
            <w:r w:rsidRPr="00C9128A">
              <w:rPr>
                <w:sz w:val="24"/>
                <w:szCs w:val="24"/>
                <w:lang w:eastAsia="en-US"/>
              </w:rPr>
              <w:t>о</w:t>
            </w:r>
            <w:r w:rsidRPr="00C9128A">
              <w:rPr>
                <w:sz w:val="24"/>
                <w:szCs w:val="24"/>
                <w:lang w:eastAsia="en-US"/>
              </w:rPr>
              <w:t xml:space="preserve">строительства </w:t>
            </w:r>
          </w:p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администрации района</w:t>
            </w:r>
          </w:p>
        </w:tc>
        <w:tc>
          <w:tcPr>
            <w:tcW w:w="1701" w:type="dxa"/>
            <w:vMerge w:val="restart"/>
            <w:hideMark/>
          </w:tcPr>
          <w:p w:rsidR="00C9128A" w:rsidRPr="00C9128A" w:rsidRDefault="00C9128A" w:rsidP="00C9128A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C9128A">
              <w:rPr>
                <w:bCs/>
                <w:sz w:val="24"/>
                <w:szCs w:val="24"/>
                <w:lang w:eastAsia="en-US"/>
              </w:rPr>
              <w:t>2011–2012 годы</w:t>
            </w:r>
          </w:p>
        </w:tc>
        <w:tc>
          <w:tcPr>
            <w:tcW w:w="1134" w:type="dxa"/>
            <w:vMerge w:val="restart"/>
          </w:tcPr>
          <w:p w:rsidR="00C9128A" w:rsidRPr="00C9128A" w:rsidRDefault="00C9128A" w:rsidP="00C9128A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 xml:space="preserve">6 521,87 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 </w:t>
            </w:r>
          </w:p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3 258,38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3 263,49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всего, в том числе</w:t>
            </w:r>
          </w:p>
        </w:tc>
      </w:tr>
      <w:tr w:rsidR="00C9128A" w:rsidRPr="00C9128A" w:rsidTr="00C9128A">
        <w:trPr>
          <w:trHeight w:val="436"/>
        </w:trPr>
        <w:tc>
          <w:tcPr>
            <w:tcW w:w="6345" w:type="dxa"/>
            <w:gridSpan w:val="2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  <w:bookmarkStart w:id="0" w:name="_GoBack" w:colFirst="6" w:colLast="6"/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1 177,28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9128A">
              <w:rPr>
                <w:color w:val="000000" w:themeColor="text1"/>
                <w:sz w:val="24"/>
                <w:szCs w:val="24"/>
                <w:lang w:eastAsia="en-US"/>
              </w:rPr>
              <w:t>1 387,19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бюджет района </w:t>
            </w:r>
          </w:p>
        </w:tc>
      </w:tr>
      <w:tr w:rsidR="00C9128A" w:rsidRPr="00C9128A" w:rsidTr="00C9128A">
        <w:trPr>
          <w:trHeight w:val="66"/>
        </w:trPr>
        <w:tc>
          <w:tcPr>
            <w:tcW w:w="6345" w:type="dxa"/>
            <w:gridSpan w:val="2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hideMark/>
          </w:tcPr>
          <w:p w:rsidR="00C9128A" w:rsidRPr="00C9128A" w:rsidRDefault="00C9128A" w:rsidP="00C9128A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C9128A" w:rsidRPr="00C9128A" w:rsidRDefault="00C9128A" w:rsidP="00C912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 xml:space="preserve">2 081,10 </w:t>
            </w:r>
          </w:p>
        </w:tc>
        <w:tc>
          <w:tcPr>
            <w:tcW w:w="1134" w:type="dxa"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1 876,30</w:t>
            </w:r>
          </w:p>
        </w:tc>
        <w:tc>
          <w:tcPr>
            <w:tcW w:w="2148" w:type="dxa"/>
            <w:hideMark/>
          </w:tcPr>
          <w:p w:rsidR="00C9128A" w:rsidRPr="00C9128A" w:rsidRDefault="00C9128A" w:rsidP="00C9128A">
            <w:pPr>
              <w:jc w:val="center"/>
              <w:rPr>
                <w:sz w:val="24"/>
                <w:szCs w:val="24"/>
                <w:lang w:eastAsia="en-US"/>
              </w:rPr>
            </w:pPr>
            <w:r w:rsidRPr="00C9128A">
              <w:rPr>
                <w:sz w:val="24"/>
                <w:szCs w:val="24"/>
                <w:lang w:eastAsia="en-US"/>
              </w:rPr>
              <w:t>бюджет округа</w:t>
            </w:r>
          </w:p>
        </w:tc>
      </w:tr>
      <w:bookmarkEnd w:id="0"/>
    </w:tbl>
    <w:p w:rsidR="00C9128A" w:rsidRPr="00C9128A" w:rsidRDefault="00C9128A" w:rsidP="00C9128A">
      <w:pPr>
        <w:jc w:val="center"/>
        <w:rPr>
          <w:szCs w:val="24"/>
        </w:rPr>
      </w:pPr>
    </w:p>
    <w:p w:rsidR="00C9128A" w:rsidRPr="00C9128A" w:rsidRDefault="00C9128A" w:rsidP="00C9128A"/>
    <w:p w:rsidR="00A923B2" w:rsidRPr="00024BE6" w:rsidRDefault="00A923B2" w:rsidP="00024BE6">
      <w:pPr>
        <w:pStyle w:val="ConsPlusNonformat"/>
        <w:widowControl/>
      </w:pPr>
    </w:p>
    <w:sectPr w:rsidR="00A923B2" w:rsidRPr="00024BE6" w:rsidSect="00AD164E">
      <w:headerReference w:type="default" r:id="rId10"/>
      <w:pgSz w:w="16832" w:h="11906" w:orient="landscape"/>
      <w:pgMar w:top="1134" w:right="567" w:bottom="851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8A" w:rsidRDefault="00C9128A">
      <w:r>
        <w:separator/>
      </w:r>
    </w:p>
  </w:endnote>
  <w:endnote w:type="continuationSeparator" w:id="1">
    <w:p w:rsidR="00C9128A" w:rsidRDefault="00C91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8A" w:rsidRDefault="00C9128A">
      <w:r>
        <w:separator/>
      </w:r>
    </w:p>
  </w:footnote>
  <w:footnote w:type="continuationSeparator" w:id="1">
    <w:p w:rsidR="00C9128A" w:rsidRDefault="00C912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9219"/>
      <w:docPartObj>
        <w:docPartGallery w:val="Page Numbers (Top of Page)"/>
        <w:docPartUnique/>
      </w:docPartObj>
    </w:sdtPr>
    <w:sdtContent>
      <w:p w:rsidR="00C9128A" w:rsidRDefault="00167FC8" w:rsidP="00C9128A">
        <w:pPr>
          <w:pStyle w:val="a4"/>
          <w:jc w:val="center"/>
        </w:pPr>
        <w:fldSimple w:instr=" PAGE   \* MERGEFORMAT ">
          <w:r w:rsidR="00582A6E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8A" w:rsidRDefault="00167FC8" w:rsidP="00D401FC">
    <w:pPr>
      <w:pStyle w:val="a4"/>
      <w:jc w:val="center"/>
    </w:pPr>
    <w:fldSimple w:instr=" PAGE   \* MERGEFORMAT ">
      <w:r w:rsidR="00582A6E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2390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0F3ABB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67FC8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2A6E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726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64E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C00870"/>
    <w:rsid w:val="00C01321"/>
    <w:rsid w:val="00C019A8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128A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DB71-293B-4CD3-9BA9-9C835253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1119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 </cp:lastModifiedBy>
  <cp:revision>4</cp:revision>
  <cp:lastPrinted>2013-01-14T12:49:00Z</cp:lastPrinted>
  <dcterms:created xsi:type="dcterms:W3CDTF">2013-01-11T06:26:00Z</dcterms:created>
  <dcterms:modified xsi:type="dcterms:W3CDTF">2013-01-22T05:57:00Z</dcterms:modified>
</cp:coreProperties>
</file>