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39" w:rsidRPr="00360CF1" w:rsidRDefault="00DC6639" w:rsidP="00DC6639">
      <w:pPr>
        <w:jc w:val="center"/>
        <w:rPr>
          <w:b/>
          <w:sz w:val="24"/>
          <w:szCs w:val="24"/>
        </w:rPr>
      </w:pPr>
    </w:p>
    <w:p w:rsidR="003A7FFE" w:rsidRPr="006A787A" w:rsidRDefault="003A7FFE" w:rsidP="003A7FFE">
      <w:pPr>
        <w:jc w:val="center"/>
        <w:rPr>
          <w:b/>
          <w:sz w:val="24"/>
          <w:szCs w:val="24"/>
        </w:rPr>
      </w:pPr>
      <w:r w:rsidRPr="006A787A">
        <w:rPr>
          <w:b/>
          <w:sz w:val="24"/>
          <w:szCs w:val="24"/>
        </w:rPr>
        <w:t>Уведомление</w:t>
      </w:r>
    </w:p>
    <w:p w:rsidR="003A7FFE" w:rsidRPr="006A787A" w:rsidRDefault="003A7FFE" w:rsidP="003A7FFE">
      <w:pPr>
        <w:jc w:val="center"/>
        <w:rPr>
          <w:b/>
          <w:sz w:val="24"/>
          <w:szCs w:val="24"/>
        </w:rPr>
      </w:pPr>
      <w:r w:rsidRPr="006A787A">
        <w:rPr>
          <w:b/>
          <w:sz w:val="24"/>
          <w:szCs w:val="24"/>
        </w:rPr>
        <w:t>о проведении публичных консультаций по проекту</w:t>
      </w:r>
    </w:p>
    <w:p w:rsidR="003A7FFE" w:rsidRPr="006A787A" w:rsidRDefault="003A7FFE" w:rsidP="003A7FFE">
      <w:pPr>
        <w:jc w:val="center"/>
        <w:rPr>
          <w:b/>
          <w:sz w:val="24"/>
          <w:szCs w:val="24"/>
        </w:rPr>
      </w:pPr>
      <w:r w:rsidRPr="006A787A">
        <w:rPr>
          <w:b/>
          <w:sz w:val="24"/>
          <w:szCs w:val="24"/>
        </w:rPr>
        <w:t>муниципального нормативного правового акта</w:t>
      </w:r>
    </w:p>
    <w:p w:rsidR="003A7FFE" w:rsidRPr="006A787A" w:rsidRDefault="003A7FFE" w:rsidP="003A7FFE">
      <w:pPr>
        <w:jc w:val="center"/>
        <w:rPr>
          <w:b/>
        </w:rPr>
      </w:pPr>
    </w:p>
    <w:p w:rsidR="00F67972" w:rsidRPr="002D2B59" w:rsidRDefault="003A7FFE" w:rsidP="002D2B59">
      <w:pPr>
        <w:autoSpaceDE w:val="0"/>
        <w:autoSpaceDN w:val="0"/>
        <w:ind w:firstLine="708"/>
        <w:jc w:val="both"/>
        <w:rPr>
          <w:sz w:val="24"/>
          <w:szCs w:val="24"/>
        </w:rPr>
      </w:pPr>
      <w:r w:rsidRPr="002D2B59">
        <w:rPr>
          <w:sz w:val="24"/>
          <w:szCs w:val="24"/>
        </w:rPr>
        <w:t xml:space="preserve">Настоящим </w:t>
      </w:r>
      <w:r w:rsidR="004F452E">
        <w:rPr>
          <w:sz w:val="24"/>
          <w:szCs w:val="24"/>
        </w:rPr>
        <w:t>у</w:t>
      </w:r>
      <w:r w:rsidR="00523EC6" w:rsidRPr="002D2B59">
        <w:rPr>
          <w:sz w:val="24"/>
          <w:szCs w:val="24"/>
        </w:rPr>
        <w:t>правление поддержки и развития предпринимательства, агропромыш</w:t>
      </w:r>
      <w:r w:rsidR="002D2B59">
        <w:rPr>
          <w:sz w:val="24"/>
          <w:szCs w:val="24"/>
        </w:rPr>
        <w:t>лен</w:t>
      </w:r>
      <w:r w:rsidR="00523EC6" w:rsidRPr="002D2B59">
        <w:rPr>
          <w:sz w:val="24"/>
          <w:szCs w:val="24"/>
        </w:rPr>
        <w:t xml:space="preserve">ного комплекса и местной промышленности </w:t>
      </w:r>
      <w:r w:rsidR="00F67972" w:rsidRPr="002D2B59">
        <w:rPr>
          <w:sz w:val="24"/>
          <w:szCs w:val="24"/>
        </w:rPr>
        <w:t>администрации Нижневартовского района</w:t>
      </w:r>
    </w:p>
    <w:p w:rsidR="003A7FFE" w:rsidRDefault="003A7FFE" w:rsidP="002D2B59">
      <w:pPr>
        <w:autoSpaceDE w:val="0"/>
        <w:autoSpaceDN w:val="0"/>
        <w:jc w:val="both"/>
        <w:rPr>
          <w:iCs/>
          <w:sz w:val="24"/>
          <w:szCs w:val="24"/>
        </w:rPr>
      </w:pPr>
      <w:r w:rsidRPr="006A787A">
        <w:rPr>
          <w:sz w:val="24"/>
          <w:szCs w:val="24"/>
        </w:rPr>
        <w:t xml:space="preserve">извещает о начале обсуждения предлагаемого правового регулирования и сборе предложений заинтересованных лиц по </w:t>
      </w:r>
      <w:r w:rsidR="002D2B59">
        <w:rPr>
          <w:sz w:val="24"/>
          <w:szCs w:val="24"/>
        </w:rPr>
        <w:t>п</w:t>
      </w:r>
      <w:r w:rsidR="002D2B59" w:rsidRPr="006A787A">
        <w:rPr>
          <w:sz w:val="24"/>
          <w:szCs w:val="24"/>
        </w:rPr>
        <w:t>роект</w:t>
      </w:r>
      <w:r w:rsidR="002D2B59">
        <w:rPr>
          <w:sz w:val="24"/>
          <w:szCs w:val="24"/>
        </w:rPr>
        <w:t xml:space="preserve">у постановления администрации </w:t>
      </w:r>
      <w:proofErr w:type="gramStart"/>
      <w:r w:rsidR="002D2B59">
        <w:rPr>
          <w:sz w:val="24"/>
          <w:szCs w:val="24"/>
        </w:rPr>
        <w:t>района  «</w:t>
      </w:r>
      <w:proofErr w:type="gramEnd"/>
      <w:r w:rsidR="002D2B59">
        <w:rPr>
          <w:sz w:val="24"/>
          <w:szCs w:val="24"/>
        </w:rPr>
        <w:t xml:space="preserve">О внесении изменений </w:t>
      </w:r>
      <w:r w:rsidR="002D2B59" w:rsidRPr="004852C5">
        <w:rPr>
          <w:sz w:val="24"/>
          <w:szCs w:val="24"/>
        </w:rPr>
        <w:t>в приложение к постановлению администрации Нижневартовского района от 09.04.2014 № 669 «Об утверждении регламента по сопровождению инвестиционных проектов в Нижневартовском районе»</w:t>
      </w:r>
    </w:p>
    <w:p w:rsidR="004665A4" w:rsidRPr="006A787A" w:rsidRDefault="004665A4" w:rsidP="003A7FFE">
      <w:pPr>
        <w:autoSpaceDE w:val="0"/>
        <w:autoSpaceDN w:val="0"/>
        <w:jc w:val="both"/>
        <w:rPr>
          <w:i/>
          <w:iCs/>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621"/>
        <w:gridCol w:w="5044"/>
      </w:tblGrid>
      <w:tr w:rsidR="003A7FFE" w:rsidRPr="006A787A" w:rsidTr="008A3D20">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1.</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Цели предлагаемого правового регулирования</w:t>
            </w:r>
          </w:p>
        </w:tc>
        <w:tc>
          <w:tcPr>
            <w:tcW w:w="5103" w:type="dxa"/>
            <w:shd w:val="clear" w:color="auto" w:fill="auto"/>
          </w:tcPr>
          <w:p w:rsidR="003A7FFE" w:rsidRPr="00C370C3" w:rsidRDefault="00C370C3" w:rsidP="00781C78">
            <w:pPr>
              <w:tabs>
                <w:tab w:val="right" w:pos="9923"/>
              </w:tabs>
              <w:autoSpaceDE w:val="0"/>
              <w:autoSpaceDN w:val="0"/>
              <w:jc w:val="both"/>
              <w:rPr>
                <w:color w:val="FF0000"/>
                <w:sz w:val="24"/>
                <w:szCs w:val="24"/>
              </w:rPr>
            </w:pPr>
            <w:r w:rsidRPr="00C370C3">
              <w:rPr>
                <w:sz w:val="24"/>
                <w:szCs w:val="24"/>
              </w:rPr>
              <w:t>Проект разработан в целях повышения эффективности взаимодействия администрации района и субъектов инвестиционной деятельности, в соответствии с Законом Ханты-Мансийского автономного округа - Югры от 26.06.2020 N 59-оз "О государственной поддержке инвестиционной деятельности, защите и поощрении капиталовложений в Ханты-Мансийском автономном округе - Югре"</w:t>
            </w:r>
            <w:r w:rsidR="004B2933">
              <w:rPr>
                <w:sz w:val="24"/>
                <w:szCs w:val="24"/>
              </w:rPr>
              <w:t>.</w:t>
            </w:r>
          </w:p>
        </w:tc>
      </w:tr>
      <w:tr w:rsidR="003A7FFE" w:rsidRPr="006A787A" w:rsidTr="008A3D20">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2.</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количества субъектов предпринимательской и инвестиционной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5103" w:type="dxa"/>
            <w:shd w:val="clear" w:color="auto" w:fill="auto"/>
          </w:tcPr>
          <w:p w:rsidR="003A7FFE" w:rsidRPr="00D81D83" w:rsidRDefault="00C370C3" w:rsidP="001D0F56">
            <w:pPr>
              <w:tabs>
                <w:tab w:val="right" w:pos="9923"/>
              </w:tabs>
              <w:autoSpaceDE w:val="0"/>
              <w:autoSpaceDN w:val="0"/>
              <w:jc w:val="both"/>
              <w:rPr>
                <w:sz w:val="24"/>
                <w:szCs w:val="24"/>
              </w:rPr>
            </w:pPr>
            <w:r>
              <w:rPr>
                <w:sz w:val="24"/>
                <w:szCs w:val="24"/>
              </w:rPr>
              <w:t>Неограниченный круг лиц</w:t>
            </w:r>
            <w:r w:rsidR="004B2933">
              <w:rPr>
                <w:sz w:val="24"/>
                <w:szCs w:val="24"/>
              </w:rPr>
              <w:t>.</w:t>
            </w:r>
          </w:p>
        </w:tc>
      </w:tr>
      <w:tr w:rsidR="003A7FFE" w:rsidRPr="006A787A" w:rsidTr="008A3D20">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3.</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Описание новых обязанностей (ограничений) для субъектов предпринимательской и инвестиционной деятельности, либо изменение содержания существующих обязанностей и ограничений</w:t>
            </w:r>
          </w:p>
        </w:tc>
        <w:tc>
          <w:tcPr>
            <w:tcW w:w="5103" w:type="dxa"/>
            <w:shd w:val="clear" w:color="auto" w:fill="auto"/>
          </w:tcPr>
          <w:p w:rsidR="003A7FFE" w:rsidRPr="00EE6535" w:rsidRDefault="00CD0961" w:rsidP="00092028">
            <w:pPr>
              <w:tabs>
                <w:tab w:val="right" w:pos="9923"/>
              </w:tabs>
              <w:autoSpaceDE w:val="0"/>
              <w:autoSpaceDN w:val="0"/>
              <w:jc w:val="both"/>
              <w:rPr>
                <w:sz w:val="24"/>
                <w:szCs w:val="24"/>
              </w:rPr>
            </w:pPr>
            <w:r>
              <w:rPr>
                <w:sz w:val="24"/>
                <w:szCs w:val="24"/>
              </w:rPr>
              <w:t xml:space="preserve">Проектом предусматривается </w:t>
            </w:r>
            <w:r w:rsidR="004B2933">
              <w:rPr>
                <w:sz w:val="24"/>
                <w:szCs w:val="24"/>
              </w:rPr>
              <w:t xml:space="preserve">возможность подачи </w:t>
            </w:r>
            <w:r>
              <w:rPr>
                <w:sz w:val="24"/>
                <w:szCs w:val="24"/>
              </w:rPr>
              <w:t>за</w:t>
            </w:r>
            <w:r w:rsidR="004B2933">
              <w:rPr>
                <w:sz w:val="24"/>
                <w:szCs w:val="24"/>
              </w:rPr>
              <w:t>я</w:t>
            </w:r>
            <w:r>
              <w:rPr>
                <w:sz w:val="24"/>
                <w:szCs w:val="24"/>
              </w:rPr>
              <w:t>вки</w:t>
            </w:r>
            <w:r w:rsidR="004B2933">
              <w:rPr>
                <w:sz w:val="24"/>
                <w:szCs w:val="24"/>
              </w:rPr>
              <w:t xml:space="preserve"> инвестором посредством электронной почты на официальный адрес администрации района.</w:t>
            </w:r>
          </w:p>
        </w:tc>
      </w:tr>
      <w:tr w:rsidR="003A7FFE" w:rsidRPr="006A787A" w:rsidTr="008A3D20">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4.</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расходов субъектов предпринимательской и инвестиционной деятельности, связанных с предлагаемым правовым регулированием</w:t>
            </w:r>
          </w:p>
        </w:tc>
        <w:tc>
          <w:tcPr>
            <w:tcW w:w="5103" w:type="dxa"/>
            <w:shd w:val="clear" w:color="auto" w:fill="auto"/>
          </w:tcPr>
          <w:p w:rsidR="003A7FFE" w:rsidRPr="00CD0961" w:rsidRDefault="004B2933" w:rsidP="001D0F56">
            <w:pPr>
              <w:tabs>
                <w:tab w:val="right" w:pos="9923"/>
              </w:tabs>
              <w:autoSpaceDE w:val="0"/>
              <w:autoSpaceDN w:val="0"/>
              <w:jc w:val="both"/>
              <w:rPr>
                <w:sz w:val="24"/>
                <w:szCs w:val="24"/>
              </w:rPr>
            </w:pPr>
            <w:r>
              <w:rPr>
                <w:sz w:val="24"/>
                <w:szCs w:val="24"/>
              </w:rPr>
              <w:t>Расходы по п</w:t>
            </w:r>
            <w:r w:rsidR="00CD0961" w:rsidRPr="00CD0961">
              <w:rPr>
                <w:sz w:val="24"/>
                <w:szCs w:val="24"/>
              </w:rPr>
              <w:t>одач</w:t>
            </w:r>
            <w:r>
              <w:rPr>
                <w:sz w:val="24"/>
                <w:szCs w:val="24"/>
              </w:rPr>
              <w:t>е</w:t>
            </w:r>
            <w:r w:rsidR="00CD0961" w:rsidRPr="00CD0961">
              <w:rPr>
                <w:sz w:val="24"/>
                <w:szCs w:val="24"/>
              </w:rPr>
              <w:t xml:space="preserve"> </w:t>
            </w:r>
            <w:r>
              <w:rPr>
                <w:sz w:val="24"/>
                <w:szCs w:val="24"/>
              </w:rPr>
              <w:t xml:space="preserve">заявки </w:t>
            </w:r>
            <w:r w:rsidR="00CD0961" w:rsidRPr="00CD0961">
              <w:rPr>
                <w:sz w:val="24"/>
                <w:szCs w:val="24"/>
              </w:rPr>
              <w:t>по форме утвержденной</w:t>
            </w:r>
            <w:r>
              <w:rPr>
                <w:sz w:val="24"/>
                <w:szCs w:val="24"/>
              </w:rPr>
              <w:t xml:space="preserve"> </w:t>
            </w:r>
            <w:proofErr w:type="spellStart"/>
            <w:r w:rsidR="00CD0961" w:rsidRPr="00CD0961">
              <w:rPr>
                <w:sz w:val="24"/>
                <w:szCs w:val="24"/>
              </w:rPr>
              <w:t>Депэкономики</w:t>
            </w:r>
            <w:proofErr w:type="spellEnd"/>
            <w:r w:rsidR="00CD0961" w:rsidRPr="00CD0961">
              <w:rPr>
                <w:sz w:val="24"/>
                <w:szCs w:val="24"/>
              </w:rPr>
              <w:t xml:space="preserve"> Югры</w:t>
            </w:r>
            <w:r w:rsidR="00CD0961">
              <w:rPr>
                <w:sz w:val="24"/>
                <w:szCs w:val="24"/>
              </w:rPr>
              <w:t xml:space="preserve"> ориентировочно </w:t>
            </w:r>
            <w:r>
              <w:rPr>
                <w:sz w:val="24"/>
                <w:szCs w:val="24"/>
              </w:rPr>
              <w:t xml:space="preserve">составляют </w:t>
            </w:r>
            <w:r w:rsidR="00CD0961">
              <w:rPr>
                <w:sz w:val="24"/>
                <w:szCs w:val="24"/>
              </w:rPr>
              <w:t>712,00 руб.</w:t>
            </w:r>
          </w:p>
        </w:tc>
      </w:tr>
      <w:tr w:rsidR="003A7FFE" w:rsidRPr="006A787A" w:rsidTr="008A3D20">
        <w:trPr>
          <w:trHeight w:val="580"/>
        </w:trPr>
        <w:tc>
          <w:tcPr>
            <w:tcW w:w="567"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5.</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Планируемый срок вступления в силу предлагаемого правового регулирования</w:t>
            </w:r>
          </w:p>
        </w:tc>
        <w:tc>
          <w:tcPr>
            <w:tcW w:w="5103" w:type="dxa"/>
            <w:shd w:val="clear" w:color="auto" w:fill="auto"/>
          </w:tcPr>
          <w:p w:rsidR="003A7FFE" w:rsidRPr="006A787A" w:rsidRDefault="00C370C3" w:rsidP="00022937">
            <w:pPr>
              <w:tabs>
                <w:tab w:val="right" w:pos="9923"/>
              </w:tabs>
              <w:autoSpaceDE w:val="0"/>
              <w:autoSpaceDN w:val="0"/>
              <w:jc w:val="both"/>
              <w:rPr>
                <w:sz w:val="24"/>
                <w:szCs w:val="24"/>
              </w:rPr>
            </w:pPr>
            <w:r>
              <w:rPr>
                <w:sz w:val="24"/>
                <w:szCs w:val="24"/>
              </w:rPr>
              <w:t>2 квартал 2021 года</w:t>
            </w:r>
            <w:r w:rsidR="004B2933">
              <w:rPr>
                <w:sz w:val="24"/>
                <w:szCs w:val="24"/>
              </w:rPr>
              <w:t>.</w:t>
            </w:r>
          </w:p>
        </w:tc>
      </w:tr>
    </w:tbl>
    <w:p w:rsidR="003A7FFE" w:rsidRPr="006A787A" w:rsidRDefault="003A7FFE" w:rsidP="003A7FFE">
      <w:pPr>
        <w:tabs>
          <w:tab w:val="right" w:pos="9923"/>
        </w:tabs>
        <w:autoSpaceDE w:val="0"/>
        <w:autoSpaceDN w:val="0"/>
        <w:spacing w:before="120"/>
        <w:ind w:left="567"/>
        <w:rPr>
          <w:sz w:val="24"/>
          <w:szCs w:val="24"/>
        </w:rPr>
      </w:pPr>
    </w:p>
    <w:p w:rsidR="003A7FFE" w:rsidRPr="006A787A" w:rsidRDefault="003A7FFE" w:rsidP="00BA4D68">
      <w:pPr>
        <w:tabs>
          <w:tab w:val="right" w:pos="9923"/>
        </w:tabs>
        <w:autoSpaceDE w:val="0"/>
        <w:autoSpaceDN w:val="0"/>
        <w:spacing w:before="120"/>
        <w:ind w:firstLine="567"/>
        <w:rPr>
          <w:sz w:val="24"/>
          <w:szCs w:val="24"/>
        </w:rPr>
      </w:pPr>
      <w:r w:rsidRPr="006A787A">
        <w:rPr>
          <w:sz w:val="24"/>
          <w:szCs w:val="24"/>
        </w:rPr>
        <w:t xml:space="preserve">Предложения принимаются по адресу: </w:t>
      </w:r>
      <w:r w:rsidR="00BF222A">
        <w:rPr>
          <w:sz w:val="24"/>
          <w:szCs w:val="24"/>
        </w:rPr>
        <w:t>628602, Ханты-Мансийский автономный округ – Югра, г. Нижневартовск, ул. Таёжная, 19</w:t>
      </w:r>
      <w:r w:rsidRPr="006A787A">
        <w:rPr>
          <w:sz w:val="24"/>
          <w:szCs w:val="24"/>
        </w:rPr>
        <w:t>,</w:t>
      </w:r>
      <w:r w:rsidR="00BF222A">
        <w:rPr>
          <w:sz w:val="24"/>
          <w:szCs w:val="24"/>
        </w:rPr>
        <w:t xml:space="preserve"> к. </w:t>
      </w:r>
      <w:r w:rsidR="002D2B59">
        <w:rPr>
          <w:sz w:val="24"/>
          <w:szCs w:val="24"/>
        </w:rPr>
        <w:t>314</w:t>
      </w:r>
      <w:r w:rsidR="00BA4D68">
        <w:rPr>
          <w:sz w:val="24"/>
          <w:szCs w:val="24"/>
        </w:rPr>
        <w:t>,</w:t>
      </w:r>
    </w:p>
    <w:p w:rsidR="0043156B" w:rsidRDefault="003A7FFE" w:rsidP="0043156B">
      <w:pPr>
        <w:autoSpaceDE w:val="0"/>
        <w:autoSpaceDN w:val="0"/>
        <w:jc w:val="both"/>
        <w:rPr>
          <w:sz w:val="24"/>
          <w:szCs w:val="24"/>
        </w:rPr>
      </w:pPr>
      <w:r w:rsidRPr="006A787A">
        <w:rPr>
          <w:sz w:val="24"/>
          <w:szCs w:val="24"/>
        </w:rPr>
        <w:t xml:space="preserve">а также по адресу электронной почты: </w:t>
      </w:r>
      <w:r w:rsidR="00C66B0D">
        <w:rPr>
          <w:rStyle w:val="af9"/>
          <w:sz w:val="24"/>
          <w:szCs w:val="24"/>
          <w:lang w:val="en-US"/>
        </w:rPr>
        <w:fldChar w:fldCharType="begin"/>
      </w:r>
      <w:r w:rsidR="00C66B0D" w:rsidRPr="00954498">
        <w:rPr>
          <w:rStyle w:val="af9"/>
          <w:sz w:val="24"/>
          <w:szCs w:val="24"/>
        </w:rPr>
        <w:instrText xml:space="preserve"> </w:instrText>
      </w:r>
      <w:r w:rsidR="00C66B0D">
        <w:rPr>
          <w:rStyle w:val="af9"/>
          <w:sz w:val="24"/>
          <w:szCs w:val="24"/>
          <w:lang w:val="en-US"/>
        </w:rPr>
        <w:instrText>HYPERLINK</w:instrText>
      </w:r>
      <w:r w:rsidR="00C66B0D" w:rsidRPr="00954498">
        <w:rPr>
          <w:rStyle w:val="af9"/>
          <w:sz w:val="24"/>
          <w:szCs w:val="24"/>
        </w:rPr>
        <w:instrText xml:space="preserve"> "</w:instrText>
      </w:r>
      <w:r w:rsidR="00C66B0D">
        <w:rPr>
          <w:rStyle w:val="af9"/>
          <w:sz w:val="24"/>
          <w:szCs w:val="24"/>
          <w:lang w:val="en-US"/>
        </w:rPr>
        <w:instrText>mailto</w:instrText>
      </w:r>
      <w:r w:rsidR="00C66B0D" w:rsidRPr="00954498">
        <w:rPr>
          <w:rStyle w:val="af9"/>
          <w:sz w:val="24"/>
          <w:szCs w:val="24"/>
        </w:rPr>
        <w:instrText>:</w:instrText>
      </w:r>
      <w:r w:rsidR="00C66B0D">
        <w:rPr>
          <w:rStyle w:val="af9"/>
          <w:sz w:val="24"/>
          <w:szCs w:val="24"/>
          <w:lang w:val="en-US"/>
        </w:rPr>
        <w:instrText>GabovaEM</w:instrText>
      </w:r>
      <w:r w:rsidR="00C66B0D" w:rsidRPr="00954498">
        <w:rPr>
          <w:rStyle w:val="af9"/>
          <w:sz w:val="24"/>
          <w:szCs w:val="24"/>
        </w:rPr>
        <w:instrText>@</w:instrText>
      </w:r>
      <w:r w:rsidR="00C66B0D">
        <w:rPr>
          <w:rStyle w:val="af9"/>
          <w:sz w:val="24"/>
          <w:szCs w:val="24"/>
          <w:lang w:val="en-US"/>
        </w:rPr>
        <w:instrText>nvraion</w:instrText>
      </w:r>
      <w:r w:rsidR="00C66B0D" w:rsidRPr="00954498">
        <w:rPr>
          <w:rStyle w:val="af9"/>
          <w:sz w:val="24"/>
          <w:szCs w:val="24"/>
        </w:rPr>
        <w:instrText>.</w:instrText>
      </w:r>
      <w:r w:rsidR="00C66B0D">
        <w:rPr>
          <w:rStyle w:val="af9"/>
          <w:sz w:val="24"/>
          <w:szCs w:val="24"/>
          <w:lang w:val="en-US"/>
        </w:rPr>
        <w:instrText>ru</w:instrText>
      </w:r>
      <w:r w:rsidR="00C66B0D" w:rsidRPr="00954498">
        <w:rPr>
          <w:rStyle w:val="af9"/>
          <w:sz w:val="24"/>
          <w:szCs w:val="24"/>
        </w:rPr>
        <w:instrText xml:space="preserve">" </w:instrText>
      </w:r>
      <w:r w:rsidR="00C66B0D">
        <w:rPr>
          <w:rStyle w:val="af9"/>
          <w:sz w:val="24"/>
          <w:szCs w:val="24"/>
          <w:lang w:val="en-US"/>
        </w:rPr>
        <w:fldChar w:fldCharType="separate"/>
      </w:r>
      <w:r w:rsidR="002D2B59" w:rsidRPr="003B49D3">
        <w:rPr>
          <w:rStyle w:val="af9"/>
          <w:sz w:val="24"/>
          <w:szCs w:val="24"/>
          <w:lang w:val="en-US"/>
        </w:rPr>
        <w:t>GabovaEM</w:t>
      </w:r>
      <w:r w:rsidR="002D2B59" w:rsidRPr="003B49D3">
        <w:rPr>
          <w:rStyle w:val="af9"/>
          <w:sz w:val="24"/>
          <w:szCs w:val="24"/>
        </w:rPr>
        <w:t>@</w:t>
      </w:r>
      <w:r w:rsidR="002D2B59" w:rsidRPr="003B49D3">
        <w:rPr>
          <w:rStyle w:val="af9"/>
          <w:sz w:val="24"/>
          <w:szCs w:val="24"/>
          <w:lang w:val="en-US"/>
        </w:rPr>
        <w:t>nvraion</w:t>
      </w:r>
      <w:r w:rsidR="002D2B59" w:rsidRPr="003B49D3">
        <w:rPr>
          <w:rStyle w:val="af9"/>
          <w:sz w:val="24"/>
          <w:szCs w:val="24"/>
        </w:rPr>
        <w:t>.</w:t>
      </w:r>
      <w:r w:rsidR="002D2B59" w:rsidRPr="003B49D3">
        <w:rPr>
          <w:rStyle w:val="af9"/>
          <w:sz w:val="24"/>
          <w:szCs w:val="24"/>
          <w:lang w:val="en-US"/>
        </w:rPr>
        <w:t>ru</w:t>
      </w:r>
      <w:r w:rsidR="00C66B0D">
        <w:rPr>
          <w:rStyle w:val="af9"/>
          <w:sz w:val="24"/>
          <w:szCs w:val="24"/>
          <w:lang w:val="en-US"/>
        </w:rPr>
        <w:fldChar w:fldCharType="end"/>
      </w:r>
      <w:r w:rsidR="0043156B">
        <w:t xml:space="preserve">, </w:t>
      </w:r>
      <w:r w:rsidR="00BF222A">
        <w:rPr>
          <w:sz w:val="24"/>
          <w:szCs w:val="24"/>
        </w:rPr>
        <w:t xml:space="preserve"> </w:t>
      </w:r>
      <w:hyperlink r:id="rId8" w:history="1">
        <w:r w:rsidR="0043156B" w:rsidRPr="00991D96">
          <w:rPr>
            <w:rStyle w:val="af9"/>
            <w:sz w:val="24"/>
            <w:szCs w:val="24"/>
          </w:rPr>
          <w:t>http://regulation.admhmao.ru/</w:t>
        </w:r>
      </w:hyperlink>
    </w:p>
    <w:p w:rsidR="00291485" w:rsidRDefault="003A7FFE" w:rsidP="003A7FFE">
      <w:pPr>
        <w:autoSpaceDE w:val="0"/>
        <w:autoSpaceDN w:val="0"/>
        <w:spacing w:before="120"/>
        <w:ind w:firstLine="567"/>
        <w:jc w:val="both"/>
        <w:rPr>
          <w:sz w:val="24"/>
          <w:szCs w:val="24"/>
        </w:rPr>
      </w:pPr>
      <w:r w:rsidRPr="006A787A">
        <w:rPr>
          <w:sz w:val="24"/>
          <w:szCs w:val="24"/>
        </w:rPr>
        <w:t>Контактное лицо по вопросам проведения публичных консультаций:</w:t>
      </w:r>
      <w:r w:rsidR="00BF222A">
        <w:rPr>
          <w:sz w:val="24"/>
          <w:szCs w:val="24"/>
        </w:rPr>
        <w:t xml:space="preserve"> </w:t>
      </w:r>
    </w:p>
    <w:p w:rsidR="002D2B59" w:rsidRDefault="002D2B59" w:rsidP="003A7FFE">
      <w:pPr>
        <w:autoSpaceDE w:val="0"/>
        <w:autoSpaceDN w:val="0"/>
        <w:spacing w:before="120"/>
        <w:ind w:firstLine="567"/>
        <w:jc w:val="both"/>
        <w:rPr>
          <w:sz w:val="24"/>
          <w:szCs w:val="24"/>
        </w:rPr>
      </w:pPr>
      <w:r>
        <w:rPr>
          <w:sz w:val="24"/>
          <w:szCs w:val="24"/>
        </w:rPr>
        <w:t xml:space="preserve">Габова Эльвира Мансуровна </w:t>
      </w:r>
      <w:r w:rsidR="00C66B0D">
        <w:rPr>
          <w:rStyle w:val="af9"/>
          <w:sz w:val="24"/>
          <w:szCs w:val="24"/>
          <w:lang w:val="en-US"/>
        </w:rPr>
        <w:fldChar w:fldCharType="begin"/>
      </w:r>
      <w:r w:rsidR="00C66B0D" w:rsidRPr="00954498">
        <w:rPr>
          <w:rStyle w:val="af9"/>
          <w:sz w:val="24"/>
          <w:szCs w:val="24"/>
        </w:rPr>
        <w:instrText xml:space="preserve"> </w:instrText>
      </w:r>
      <w:r w:rsidR="00C66B0D">
        <w:rPr>
          <w:rStyle w:val="af9"/>
          <w:sz w:val="24"/>
          <w:szCs w:val="24"/>
          <w:lang w:val="en-US"/>
        </w:rPr>
        <w:instrText>HYPERLINK</w:instrText>
      </w:r>
      <w:r w:rsidR="00C66B0D" w:rsidRPr="00954498">
        <w:rPr>
          <w:rStyle w:val="af9"/>
          <w:sz w:val="24"/>
          <w:szCs w:val="24"/>
        </w:rPr>
        <w:instrText xml:space="preserve"> "</w:instrText>
      </w:r>
      <w:r w:rsidR="00C66B0D">
        <w:rPr>
          <w:rStyle w:val="af9"/>
          <w:sz w:val="24"/>
          <w:szCs w:val="24"/>
          <w:lang w:val="en-US"/>
        </w:rPr>
        <w:instrText>mailto</w:instrText>
      </w:r>
      <w:r w:rsidR="00C66B0D" w:rsidRPr="00954498">
        <w:rPr>
          <w:rStyle w:val="af9"/>
          <w:sz w:val="24"/>
          <w:szCs w:val="24"/>
        </w:rPr>
        <w:instrText>:</w:instrText>
      </w:r>
      <w:r w:rsidR="00C66B0D">
        <w:rPr>
          <w:rStyle w:val="af9"/>
          <w:sz w:val="24"/>
          <w:szCs w:val="24"/>
          <w:lang w:val="en-US"/>
        </w:rPr>
        <w:instrText>GabovaEM</w:instrText>
      </w:r>
      <w:r w:rsidR="00C66B0D" w:rsidRPr="00954498">
        <w:rPr>
          <w:rStyle w:val="af9"/>
          <w:sz w:val="24"/>
          <w:szCs w:val="24"/>
        </w:rPr>
        <w:instrText>@</w:instrText>
      </w:r>
      <w:r w:rsidR="00C66B0D">
        <w:rPr>
          <w:rStyle w:val="af9"/>
          <w:sz w:val="24"/>
          <w:szCs w:val="24"/>
          <w:lang w:val="en-US"/>
        </w:rPr>
        <w:instrText>nvraion</w:instrText>
      </w:r>
      <w:r w:rsidR="00C66B0D" w:rsidRPr="00954498">
        <w:rPr>
          <w:rStyle w:val="af9"/>
          <w:sz w:val="24"/>
          <w:szCs w:val="24"/>
        </w:rPr>
        <w:instrText>.</w:instrText>
      </w:r>
      <w:r w:rsidR="00C66B0D">
        <w:rPr>
          <w:rStyle w:val="af9"/>
          <w:sz w:val="24"/>
          <w:szCs w:val="24"/>
          <w:lang w:val="en-US"/>
        </w:rPr>
        <w:instrText>ru</w:instrText>
      </w:r>
      <w:r w:rsidR="00C66B0D" w:rsidRPr="00954498">
        <w:rPr>
          <w:rStyle w:val="af9"/>
          <w:sz w:val="24"/>
          <w:szCs w:val="24"/>
        </w:rPr>
        <w:instrText xml:space="preserve">" </w:instrText>
      </w:r>
      <w:r w:rsidR="00C66B0D">
        <w:rPr>
          <w:rStyle w:val="af9"/>
          <w:sz w:val="24"/>
          <w:szCs w:val="24"/>
          <w:lang w:val="en-US"/>
        </w:rPr>
        <w:fldChar w:fldCharType="separate"/>
      </w:r>
      <w:r w:rsidRPr="003B49D3">
        <w:rPr>
          <w:rStyle w:val="af9"/>
          <w:sz w:val="24"/>
          <w:szCs w:val="24"/>
          <w:lang w:val="en-US"/>
        </w:rPr>
        <w:t>GabovaEM</w:t>
      </w:r>
      <w:r w:rsidRPr="003B49D3">
        <w:rPr>
          <w:rStyle w:val="af9"/>
          <w:sz w:val="24"/>
          <w:szCs w:val="24"/>
        </w:rPr>
        <w:t>@</w:t>
      </w:r>
      <w:proofErr w:type="spellStart"/>
      <w:r w:rsidRPr="003B49D3">
        <w:rPr>
          <w:rStyle w:val="af9"/>
          <w:sz w:val="24"/>
          <w:szCs w:val="24"/>
          <w:lang w:val="en-US"/>
        </w:rPr>
        <w:t>nvraion</w:t>
      </w:r>
      <w:proofErr w:type="spellEnd"/>
      <w:r w:rsidRPr="003B49D3">
        <w:rPr>
          <w:rStyle w:val="af9"/>
          <w:sz w:val="24"/>
          <w:szCs w:val="24"/>
        </w:rPr>
        <w:t>.</w:t>
      </w:r>
      <w:proofErr w:type="spellStart"/>
      <w:r w:rsidRPr="003B49D3">
        <w:rPr>
          <w:rStyle w:val="af9"/>
          <w:sz w:val="24"/>
          <w:szCs w:val="24"/>
          <w:lang w:val="en-US"/>
        </w:rPr>
        <w:t>ru</w:t>
      </w:r>
      <w:proofErr w:type="spellEnd"/>
      <w:r w:rsidR="00C66B0D">
        <w:rPr>
          <w:rStyle w:val="af9"/>
          <w:sz w:val="24"/>
          <w:szCs w:val="24"/>
          <w:lang w:val="en-US"/>
        </w:rPr>
        <w:fldChar w:fldCharType="end"/>
      </w:r>
    </w:p>
    <w:p w:rsidR="003A7FFE" w:rsidRPr="006A787A" w:rsidRDefault="003A7FFE" w:rsidP="00BA4D68">
      <w:pPr>
        <w:autoSpaceDE w:val="0"/>
        <w:autoSpaceDN w:val="0"/>
        <w:ind w:right="-2"/>
        <w:rPr>
          <w:sz w:val="24"/>
          <w:szCs w:val="24"/>
        </w:rPr>
      </w:pPr>
      <w:r w:rsidRPr="006A787A">
        <w:rPr>
          <w:i/>
          <w:sz w:val="24"/>
          <w:szCs w:val="24"/>
        </w:rPr>
        <w:t xml:space="preserve">         </w:t>
      </w:r>
      <w:bookmarkStart w:id="0" w:name="_GoBack"/>
      <w:bookmarkEnd w:id="0"/>
      <w:r w:rsidRPr="006A787A">
        <w:rPr>
          <w:sz w:val="24"/>
          <w:szCs w:val="24"/>
        </w:rPr>
        <w:t>Сроки приема предложений: с «</w:t>
      </w:r>
      <w:r w:rsidR="002D2B59">
        <w:rPr>
          <w:sz w:val="24"/>
          <w:szCs w:val="24"/>
        </w:rPr>
        <w:t>06</w:t>
      </w:r>
      <w:r w:rsidRPr="006A787A">
        <w:rPr>
          <w:sz w:val="24"/>
          <w:szCs w:val="24"/>
        </w:rPr>
        <w:t>»</w:t>
      </w:r>
      <w:r w:rsidR="00E2029B">
        <w:rPr>
          <w:sz w:val="24"/>
          <w:szCs w:val="24"/>
        </w:rPr>
        <w:t xml:space="preserve"> </w:t>
      </w:r>
      <w:r w:rsidR="002D2B59">
        <w:rPr>
          <w:sz w:val="24"/>
          <w:szCs w:val="24"/>
        </w:rPr>
        <w:t xml:space="preserve">апреля </w:t>
      </w:r>
      <w:r w:rsidR="00E2029B">
        <w:rPr>
          <w:sz w:val="24"/>
          <w:szCs w:val="24"/>
        </w:rPr>
        <w:t xml:space="preserve"> 20</w:t>
      </w:r>
      <w:r w:rsidR="00523EC6">
        <w:rPr>
          <w:sz w:val="24"/>
          <w:szCs w:val="24"/>
        </w:rPr>
        <w:t xml:space="preserve">21 </w:t>
      </w:r>
      <w:r w:rsidRPr="006A787A">
        <w:rPr>
          <w:sz w:val="24"/>
          <w:szCs w:val="24"/>
        </w:rPr>
        <w:t>г.  по «</w:t>
      </w:r>
      <w:r w:rsidR="002D2B59">
        <w:rPr>
          <w:sz w:val="24"/>
          <w:szCs w:val="24"/>
        </w:rPr>
        <w:t>20</w:t>
      </w:r>
      <w:r w:rsidRPr="006A787A">
        <w:rPr>
          <w:sz w:val="24"/>
          <w:szCs w:val="24"/>
        </w:rPr>
        <w:t>»</w:t>
      </w:r>
      <w:r w:rsidR="00E2029B">
        <w:rPr>
          <w:sz w:val="24"/>
          <w:szCs w:val="24"/>
        </w:rPr>
        <w:t xml:space="preserve"> </w:t>
      </w:r>
      <w:r w:rsidR="002D2B59">
        <w:rPr>
          <w:sz w:val="24"/>
          <w:szCs w:val="24"/>
        </w:rPr>
        <w:t>апреля</w:t>
      </w:r>
      <w:r w:rsidR="00E2029B">
        <w:rPr>
          <w:sz w:val="24"/>
          <w:szCs w:val="24"/>
        </w:rPr>
        <w:t xml:space="preserve"> 20</w:t>
      </w:r>
      <w:r w:rsidR="00523EC6">
        <w:rPr>
          <w:sz w:val="24"/>
          <w:szCs w:val="24"/>
        </w:rPr>
        <w:t xml:space="preserve">21 </w:t>
      </w:r>
      <w:r w:rsidRPr="006A787A">
        <w:rPr>
          <w:sz w:val="24"/>
          <w:szCs w:val="24"/>
        </w:rPr>
        <w:t>г.</w:t>
      </w:r>
    </w:p>
    <w:p w:rsidR="003A7FFE" w:rsidRPr="006A787A" w:rsidRDefault="003A7FFE" w:rsidP="003A7FFE">
      <w:pPr>
        <w:autoSpaceDE w:val="0"/>
        <w:autoSpaceDN w:val="0"/>
        <w:ind w:right="-2"/>
        <w:jc w:val="center"/>
        <w:rPr>
          <w:i/>
          <w:iCs/>
          <w:sz w:val="24"/>
          <w:szCs w:val="24"/>
        </w:rPr>
      </w:pPr>
      <w:r w:rsidRPr="006A787A">
        <w:rPr>
          <w:i/>
          <w:iCs/>
          <w:sz w:val="24"/>
          <w:szCs w:val="24"/>
        </w:rPr>
        <w:t xml:space="preserve">                  </w:t>
      </w:r>
    </w:p>
    <w:p w:rsidR="003A7FFE" w:rsidRPr="006A787A" w:rsidRDefault="003A7FFE" w:rsidP="003A7FFE">
      <w:pPr>
        <w:autoSpaceDE w:val="0"/>
        <w:autoSpaceDN w:val="0"/>
        <w:ind w:firstLine="567"/>
        <w:jc w:val="both"/>
        <w:rPr>
          <w:sz w:val="24"/>
          <w:szCs w:val="24"/>
        </w:rPr>
      </w:pPr>
      <w:r w:rsidRPr="006A787A">
        <w:rPr>
          <w:sz w:val="24"/>
          <w:szCs w:val="24"/>
        </w:rPr>
        <w:t>Место размещения уведомления о проведении публичных консультаций по проекту нормативного правового акта в информаци</w:t>
      </w:r>
      <w:r>
        <w:rPr>
          <w:sz w:val="24"/>
          <w:szCs w:val="24"/>
        </w:rPr>
        <w:t>онно-телекоммуникационной сети Интернет</w:t>
      </w:r>
      <w:r w:rsidRPr="006A787A">
        <w:rPr>
          <w:sz w:val="24"/>
          <w:szCs w:val="24"/>
        </w:rPr>
        <w:t xml:space="preserve">: </w:t>
      </w:r>
    </w:p>
    <w:p w:rsidR="00502DF6" w:rsidRDefault="00C66B0D" w:rsidP="003A7FFE">
      <w:pPr>
        <w:autoSpaceDE w:val="0"/>
        <w:autoSpaceDN w:val="0"/>
        <w:jc w:val="both"/>
        <w:rPr>
          <w:sz w:val="24"/>
          <w:szCs w:val="24"/>
        </w:rPr>
      </w:pPr>
      <w:hyperlink r:id="rId9" w:history="1">
        <w:r w:rsidR="00502DF6" w:rsidRPr="00991D96">
          <w:rPr>
            <w:rStyle w:val="af9"/>
            <w:sz w:val="24"/>
            <w:szCs w:val="24"/>
          </w:rPr>
          <w:t>http://www.nvraion.ru/dokumenty/otsenka-reguliruyushchego-vozdeystviya-i-ekspertiza-munitsipalnykh-normativnykh-pravovykh-aktov-/publichnye-konsultatsii/</w:t>
        </w:r>
      </w:hyperlink>
    </w:p>
    <w:p w:rsidR="00502DF6" w:rsidRDefault="00502DF6" w:rsidP="003A7FFE">
      <w:pPr>
        <w:autoSpaceDE w:val="0"/>
        <w:autoSpaceDN w:val="0"/>
        <w:jc w:val="both"/>
        <w:rPr>
          <w:sz w:val="24"/>
          <w:szCs w:val="24"/>
        </w:rPr>
      </w:pPr>
    </w:p>
    <w:p w:rsidR="003A7FFE" w:rsidRDefault="00C66B0D" w:rsidP="003A7FFE">
      <w:pPr>
        <w:autoSpaceDE w:val="0"/>
        <w:autoSpaceDN w:val="0"/>
        <w:jc w:val="both"/>
        <w:rPr>
          <w:sz w:val="24"/>
          <w:szCs w:val="24"/>
        </w:rPr>
      </w:pPr>
      <w:hyperlink r:id="rId10" w:history="1">
        <w:r w:rsidR="003C780D" w:rsidRPr="00991D96">
          <w:rPr>
            <w:rStyle w:val="af9"/>
            <w:sz w:val="24"/>
            <w:szCs w:val="24"/>
          </w:rPr>
          <w:t>http://regulation.admhmao.ru/</w:t>
        </w:r>
      </w:hyperlink>
    </w:p>
    <w:p w:rsidR="003C780D" w:rsidRDefault="003C780D" w:rsidP="003A7FFE">
      <w:pPr>
        <w:autoSpaceDE w:val="0"/>
        <w:autoSpaceDN w:val="0"/>
        <w:spacing w:after="120"/>
        <w:ind w:firstLine="567"/>
        <w:rPr>
          <w:sz w:val="24"/>
          <w:szCs w:val="24"/>
        </w:rPr>
      </w:pPr>
    </w:p>
    <w:p w:rsidR="003A7FFE" w:rsidRPr="006A787A" w:rsidRDefault="003A7FFE" w:rsidP="003A7FFE">
      <w:pPr>
        <w:autoSpaceDE w:val="0"/>
        <w:autoSpaceDN w:val="0"/>
        <w:spacing w:after="120"/>
        <w:ind w:firstLine="567"/>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1</w:t>
            </w:r>
          </w:p>
        </w:tc>
        <w:tc>
          <w:tcPr>
            <w:tcW w:w="9105" w:type="dxa"/>
            <w:shd w:val="clear" w:color="auto" w:fill="auto"/>
          </w:tcPr>
          <w:p w:rsidR="003A7FFE" w:rsidRPr="006A787A" w:rsidRDefault="003A7FF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2</w:t>
            </w:r>
          </w:p>
        </w:tc>
        <w:tc>
          <w:tcPr>
            <w:tcW w:w="9105" w:type="dxa"/>
            <w:shd w:val="clear" w:color="auto" w:fill="auto"/>
          </w:tcPr>
          <w:p w:rsidR="003A7FFE" w:rsidRPr="006A787A" w:rsidRDefault="00A562FE" w:rsidP="002D2B59">
            <w:pPr>
              <w:autoSpaceDE w:val="0"/>
              <w:autoSpaceDN w:val="0"/>
              <w:adjustRightInd w:val="0"/>
              <w:jc w:val="both"/>
              <w:rPr>
                <w:sz w:val="24"/>
                <w:szCs w:val="24"/>
              </w:rPr>
            </w:pPr>
            <w:r w:rsidRPr="00333F5D">
              <w:rPr>
                <w:sz w:val="24"/>
                <w:szCs w:val="24"/>
              </w:rPr>
              <w:t>Проект</w:t>
            </w:r>
            <w:r>
              <w:rPr>
                <w:sz w:val="24"/>
                <w:szCs w:val="24"/>
              </w:rPr>
              <w:t xml:space="preserve"> </w:t>
            </w:r>
            <w:r w:rsidR="002D2B59">
              <w:rPr>
                <w:sz w:val="24"/>
                <w:szCs w:val="24"/>
              </w:rPr>
              <w:t>постановления</w:t>
            </w:r>
          </w:p>
        </w:tc>
      </w:tr>
      <w:tr w:rsidR="002D2B59" w:rsidRPr="006A787A" w:rsidTr="001D0F56">
        <w:tc>
          <w:tcPr>
            <w:tcW w:w="534" w:type="dxa"/>
            <w:shd w:val="clear" w:color="auto" w:fill="auto"/>
          </w:tcPr>
          <w:p w:rsidR="002D2B59" w:rsidRPr="006A787A" w:rsidRDefault="002D2B59" w:rsidP="001D0F56">
            <w:pPr>
              <w:autoSpaceDE w:val="0"/>
              <w:autoSpaceDN w:val="0"/>
              <w:spacing w:after="120"/>
              <w:jc w:val="center"/>
              <w:rPr>
                <w:sz w:val="24"/>
                <w:szCs w:val="24"/>
              </w:rPr>
            </w:pPr>
            <w:r>
              <w:rPr>
                <w:sz w:val="24"/>
                <w:szCs w:val="24"/>
              </w:rPr>
              <w:t>3</w:t>
            </w:r>
          </w:p>
        </w:tc>
        <w:tc>
          <w:tcPr>
            <w:tcW w:w="9105" w:type="dxa"/>
            <w:shd w:val="clear" w:color="auto" w:fill="auto"/>
          </w:tcPr>
          <w:p w:rsidR="002D2B59" w:rsidRPr="00333F5D" w:rsidRDefault="002D2B59" w:rsidP="002D2B59">
            <w:pPr>
              <w:autoSpaceDE w:val="0"/>
              <w:autoSpaceDN w:val="0"/>
              <w:adjustRightInd w:val="0"/>
              <w:jc w:val="both"/>
              <w:rPr>
                <w:sz w:val="24"/>
                <w:szCs w:val="24"/>
              </w:rPr>
            </w:pPr>
            <w:r>
              <w:rPr>
                <w:sz w:val="24"/>
                <w:szCs w:val="24"/>
              </w:rPr>
              <w:t>Пояснительная записка к проекту</w:t>
            </w: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11"/>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B0D" w:rsidRDefault="00C66B0D">
      <w:r>
        <w:separator/>
      </w:r>
    </w:p>
  </w:endnote>
  <w:endnote w:type="continuationSeparator" w:id="0">
    <w:p w:rsidR="00C66B0D" w:rsidRDefault="00C6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B0D" w:rsidRDefault="00C66B0D">
      <w:r>
        <w:separator/>
      </w:r>
    </w:p>
  </w:footnote>
  <w:footnote w:type="continuationSeparator" w:id="0">
    <w:p w:rsidR="00C66B0D" w:rsidRDefault="00C6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5F0D0C">
        <w:pPr>
          <w:pStyle w:val="a4"/>
          <w:jc w:val="center"/>
        </w:pPr>
        <w:r>
          <w:fldChar w:fldCharType="begin"/>
        </w:r>
        <w:r>
          <w:instrText>PAGE   \* MERGEFORMAT</w:instrText>
        </w:r>
        <w:r>
          <w:fldChar w:fldCharType="separate"/>
        </w:r>
        <w:r w:rsidR="009B549C">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937"/>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028"/>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593"/>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16627"/>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1485"/>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2B59"/>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0C3F"/>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43EE"/>
    <w:rsid w:val="003A56DF"/>
    <w:rsid w:val="003A7090"/>
    <w:rsid w:val="003A70EF"/>
    <w:rsid w:val="003A7FFE"/>
    <w:rsid w:val="003B1C8D"/>
    <w:rsid w:val="003B33F8"/>
    <w:rsid w:val="003B398F"/>
    <w:rsid w:val="003B45E1"/>
    <w:rsid w:val="003B6815"/>
    <w:rsid w:val="003B68BC"/>
    <w:rsid w:val="003B6AB2"/>
    <w:rsid w:val="003B732A"/>
    <w:rsid w:val="003C0EEF"/>
    <w:rsid w:val="003C618E"/>
    <w:rsid w:val="003C780D"/>
    <w:rsid w:val="003D01DE"/>
    <w:rsid w:val="003D31CA"/>
    <w:rsid w:val="003D58AF"/>
    <w:rsid w:val="003E1BC9"/>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156B"/>
    <w:rsid w:val="004331AA"/>
    <w:rsid w:val="00433800"/>
    <w:rsid w:val="004341C4"/>
    <w:rsid w:val="00434373"/>
    <w:rsid w:val="00436773"/>
    <w:rsid w:val="00436F7F"/>
    <w:rsid w:val="0044068E"/>
    <w:rsid w:val="00441CA8"/>
    <w:rsid w:val="00444A6E"/>
    <w:rsid w:val="00445046"/>
    <w:rsid w:val="00453459"/>
    <w:rsid w:val="004574BE"/>
    <w:rsid w:val="00463A57"/>
    <w:rsid w:val="004665A4"/>
    <w:rsid w:val="004702B8"/>
    <w:rsid w:val="00471C09"/>
    <w:rsid w:val="004773AF"/>
    <w:rsid w:val="00477A6B"/>
    <w:rsid w:val="004808F4"/>
    <w:rsid w:val="00482485"/>
    <w:rsid w:val="00482AF2"/>
    <w:rsid w:val="004830DE"/>
    <w:rsid w:val="00483357"/>
    <w:rsid w:val="004845F6"/>
    <w:rsid w:val="004850C3"/>
    <w:rsid w:val="004858B2"/>
    <w:rsid w:val="00487414"/>
    <w:rsid w:val="0048754D"/>
    <w:rsid w:val="004908D7"/>
    <w:rsid w:val="0049352B"/>
    <w:rsid w:val="00493787"/>
    <w:rsid w:val="00494924"/>
    <w:rsid w:val="00494E02"/>
    <w:rsid w:val="00494EAA"/>
    <w:rsid w:val="004969CF"/>
    <w:rsid w:val="00496EE3"/>
    <w:rsid w:val="004A018E"/>
    <w:rsid w:val="004A0EB6"/>
    <w:rsid w:val="004A35A8"/>
    <w:rsid w:val="004A3C56"/>
    <w:rsid w:val="004A3C75"/>
    <w:rsid w:val="004A4342"/>
    <w:rsid w:val="004B0797"/>
    <w:rsid w:val="004B2933"/>
    <w:rsid w:val="004B64F4"/>
    <w:rsid w:val="004B676E"/>
    <w:rsid w:val="004B6EA1"/>
    <w:rsid w:val="004C04FE"/>
    <w:rsid w:val="004C1293"/>
    <w:rsid w:val="004C1FD7"/>
    <w:rsid w:val="004C4852"/>
    <w:rsid w:val="004C562F"/>
    <w:rsid w:val="004C6160"/>
    <w:rsid w:val="004C620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4F452E"/>
    <w:rsid w:val="00501F2E"/>
    <w:rsid w:val="0050229C"/>
    <w:rsid w:val="00502DF6"/>
    <w:rsid w:val="00505294"/>
    <w:rsid w:val="00505DC5"/>
    <w:rsid w:val="00506547"/>
    <w:rsid w:val="005109E4"/>
    <w:rsid w:val="00512160"/>
    <w:rsid w:val="005124B2"/>
    <w:rsid w:val="00512CBB"/>
    <w:rsid w:val="0051443A"/>
    <w:rsid w:val="00514B32"/>
    <w:rsid w:val="00515343"/>
    <w:rsid w:val="00516957"/>
    <w:rsid w:val="00517022"/>
    <w:rsid w:val="00517956"/>
    <w:rsid w:val="0052041A"/>
    <w:rsid w:val="00520A7F"/>
    <w:rsid w:val="00523E2E"/>
    <w:rsid w:val="00523EC6"/>
    <w:rsid w:val="00525F8B"/>
    <w:rsid w:val="00526DEA"/>
    <w:rsid w:val="00527640"/>
    <w:rsid w:val="00527CF4"/>
    <w:rsid w:val="0053037F"/>
    <w:rsid w:val="00530B64"/>
    <w:rsid w:val="00530F31"/>
    <w:rsid w:val="0053265B"/>
    <w:rsid w:val="005337E5"/>
    <w:rsid w:val="0053430D"/>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1B35"/>
    <w:rsid w:val="005B2149"/>
    <w:rsid w:val="005B2AC8"/>
    <w:rsid w:val="005B3237"/>
    <w:rsid w:val="005B36DB"/>
    <w:rsid w:val="005B5532"/>
    <w:rsid w:val="005B698B"/>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0D0C"/>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3C5"/>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1C78"/>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269"/>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5FB5"/>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5BD0"/>
    <w:rsid w:val="00866EC9"/>
    <w:rsid w:val="0087138D"/>
    <w:rsid w:val="00874D4E"/>
    <w:rsid w:val="00882385"/>
    <w:rsid w:val="00884365"/>
    <w:rsid w:val="00884AA2"/>
    <w:rsid w:val="0088680A"/>
    <w:rsid w:val="00891781"/>
    <w:rsid w:val="00892485"/>
    <w:rsid w:val="00892D96"/>
    <w:rsid w:val="008A34CD"/>
    <w:rsid w:val="008A3D20"/>
    <w:rsid w:val="008B009A"/>
    <w:rsid w:val="008B1B97"/>
    <w:rsid w:val="008B4AA5"/>
    <w:rsid w:val="008B5738"/>
    <w:rsid w:val="008C0544"/>
    <w:rsid w:val="008C20A1"/>
    <w:rsid w:val="008C332C"/>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498"/>
    <w:rsid w:val="00954999"/>
    <w:rsid w:val="00955C74"/>
    <w:rsid w:val="00957A9B"/>
    <w:rsid w:val="00960D43"/>
    <w:rsid w:val="00960F1F"/>
    <w:rsid w:val="00963B3C"/>
    <w:rsid w:val="009640EA"/>
    <w:rsid w:val="009643E7"/>
    <w:rsid w:val="0096531B"/>
    <w:rsid w:val="00966571"/>
    <w:rsid w:val="0096771E"/>
    <w:rsid w:val="0097154F"/>
    <w:rsid w:val="00973AA3"/>
    <w:rsid w:val="00974977"/>
    <w:rsid w:val="0097679A"/>
    <w:rsid w:val="00983F5E"/>
    <w:rsid w:val="00986A2F"/>
    <w:rsid w:val="00991F77"/>
    <w:rsid w:val="00993845"/>
    <w:rsid w:val="00997BC5"/>
    <w:rsid w:val="009A0EE9"/>
    <w:rsid w:val="009A13C1"/>
    <w:rsid w:val="009A3300"/>
    <w:rsid w:val="009A4F8F"/>
    <w:rsid w:val="009A6A7D"/>
    <w:rsid w:val="009A7BB0"/>
    <w:rsid w:val="009B549C"/>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04C08"/>
    <w:rsid w:val="00A11A99"/>
    <w:rsid w:val="00A12BF1"/>
    <w:rsid w:val="00A1406D"/>
    <w:rsid w:val="00A208BC"/>
    <w:rsid w:val="00A222CB"/>
    <w:rsid w:val="00A22C53"/>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160A"/>
    <w:rsid w:val="00A439E2"/>
    <w:rsid w:val="00A458B1"/>
    <w:rsid w:val="00A46B67"/>
    <w:rsid w:val="00A47AB3"/>
    <w:rsid w:val="00A54E21"/>
    <w:rsid w:val="00A5593A"/>
    <w:rsid w:val="00A55C85"/>
    <w:rsid w:val="00A562FE"/>
    <w:rsid w:val="00A56D4C"/>
    <w:rsid w:val="00A57E59"/>
    <w:rsid w:val="00A60552"/>
    <w:rsid w:val="00A62239"/>
    <w:rsid w:val="00A63839"/>
    <w:rsid w:val="00A64D13"/>
    <w:rsid w:val="00A671F8"/>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31D"/>
    <w:rsid w:val="00AC7F36"/>
    <w:rsid w:val="00AD1C22"/>
    <w:rsid w:val="00AD28E1"/>
    <w:rsid w:val="00AD2DB3"/>
    <w:rsid w:val="00AD33B1"/>
    <w:rsid w:val="00AD3722"/>
    <w:rsid w:val="00AD40B7"/>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4D68"/>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22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370C3"/>
    <w:rsid w:val="00C4055D"/>
    <w:rsid w:val="00C4675F"/>
    <w:rsid w:val="00C479BF"/>
    <w:rsid w:val="00C50073"/>
    <w:rsid w:val="00C57BE4"/>
    <w:rsid w:val="00C57E1E"/>
    <w:rsid w:val="00C6072A"/>
    <w:rsid w:val="00C6189E"/>
    <w:rsid w:val="00C6229B"/>
    <w:rsid w:val="00C6242E"/>
    <w:rsid w:val="00C62F70"/>
    <w:rsid w:val="00C66B0D"/>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B714C"/>
    <w:rsid w:val="00CC01B1"/>
    <w:rsid w:val="00CC0F95"/>
    <w:rsid w:val="00CC18F5"/>
    <w:rsid w:val="00CC1F9C"/>
    <w:rsid w:val="00CC22AD"/>
    <w:rsid w:val="00CC29B7"/>
    <w:rsid w:val="00CC6D13"/>
    <w:rsid w:val="00CC73C4"/>
    <w:rsid w:val="00CC76DA"/>
    <w:rsid w:val="00CD084E"/>
    <w:rsid w:val="00CD0961"/>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1D83"/>
    <w:rsid w:val="00D82FD0"/>
    <w:rsid w:val="00D84435"/>
    <w:rsid w:val="00D85469"/>
    <w:rsid w:val="00D8617F"/>
    <w:rsid w:val="00D86AFF"/>
    <w:rsid w:val="00D94016"/>
    <w:rsid w:val="00D97F66"/>
    <w:rsid w:val="00DA0155"/>
    <w:rsid w:val="00DA092B"/>
    <w:rsid w:val="00DA2A6C"/>
    <w:rsid w:val="00DA32AD"/>
    <w:rsid w:val="00DA62C1"/>
    <w:rsid w:val="00DA6B7B"/>
    <w:rsid w:val="00DB25E9"/>
    <w:rsid w:val="00DB4A17"/>
    <w:rsid w:val="00DB52F7"/>
    <w:rsid w:val="00DB5328"/>
    <w:rsid w:val="00DC52B4"/>
    <w:rsid w:val="00DC6639"/>
    <w:rsid w:val="00DC70D0"/>
    <w:rsid w:val="00DD0180"/>
    <w:rsid w:val="00DD1CA5"/>
    <w:rsid w:val="00DD2EEC"/>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29B"/>
    <w:rsid w:val="00E20542"/>
    <w:rsid w:val="00E215BD"/>
    <w:rsid w:val="00E22309"/>
    <w:rsid w:val="00E22FDE"/>
    <w:rsid w:val="00E23C69"/>
    <w:rsid w:val="00E24C0D"/>
    <w:rsid w:val="00E25169"/>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0BA8"/>
    <w:rsid w:val="00EA1102"/>
    <w:rsid w:val="00EA23BF"/>
    <w:rsid w:val="00EA49FB"/>
    <w:rsid w:val="00EA630C"/>
    <w:rsid w:val="00EA74D2"/>
    <w:rsid w:val="00EB1DFA"/>
    <w:rsid w:val="00EB2085"/>
    <w:rsid w:val="00EB30EB"/>
    <w:rsid w:val="00EB3A76"/>
    <w:rsid w:val="00EB6B7F"/>
    <w:rsid w:val="00EC08B9"/>
    <w:rsid w:val="00EC53AE"/>
    <w:rsid w:val="00EC5CB9"/>
    <w:rsid w:val="00EC66AD"/>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53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27F8"/>
    <w:rsid w:val="00F27741"/>
    <w:rsid w:val="00F279A5"/>
    <w:rsid w:val="00F31C96"/>
    <w:rsid w:val="00F32FBB"/>
    <w:rsid w:val="00F35AE8"/>
    <w:rsid w:val="00F36667"/>
    <w:rsid w:val="00F40887"/>
    <w:rsid w:val="00F425C0"/>
    <w:rsid w:val="00F4455B"/>
    <w:rsid w:val="00F45404"/>
    <w:rsid w:val="00F46457"/>
    <w:rsid w:val="00F465E5"/>
    <w:rsid w:val="00F53031"/>
    <w:rsid w:val="00F544F3"/>
    <w:rsid w:val="00F61312"/>
    <w:rsid w:val="00F62EF4"/>
    <w:rsid w:val="00F63A60"/>
    <w:rsid w:val="00F63C3A"/>
    <w:rsid w:val="00F67972"/>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6B2"/>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95753"/>
  <w15:docId w15:val="{35C4EAFA-E336-4536-B907-4E822A11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51862160">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2824012">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279679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34293011">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1153844">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ulation.admhma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ulation.admhmao.ru/" TargetMode="External"/><Relationship Id="rId4" Type="http://schemas.openxmlformats.org/officeDocument/2006/relationships/settings" Target="settings.xml"/><Relationship Id="rId9" Type="http://schemas.openxmlformats.org/officeDocument/2006/relationships/hyperlink" Target="http://www.nvraion.ru/dokumenty/otsenka-reguliruyushchego-vozdeystviya-i-ekspertiza-munitsipalnykh-normativnykh-pravovykh-aktov-/publichnye-konsult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F3EE-A00C-448B-B759-EE0FA7AD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4</cp:revision>
  <cp:lastPrinted>2015-06-16T06:13:00Z</cp:lastPrinted>
  <dcterms:created xsi:type="dcterms:W3CDTF">2021-02-27T14:29:00Z</dcterms:created>
  <dcterms:modified xsi:type="dcterms:W3CDTF">2021-04-06T09:52:00Z</dcterms:modified>
</cp:coreProperties>
</file>