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2" w:rsidRPr="006317DC" w:rsidRDefault="0073106E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317DC">
        <w:rPr>
          <w:b/>
          <w:bCs/>
          <w:sz w:val="32"/>
          <w:szCs w:val="32"/>
        </w:rPr>
        <w:t>И</w:t>
      </w:r>
      <w:r w:rsidR="001A7860" w:rsidRPr="006317DC">
        <w:rPr>
          <w:b/>
          <w:bCs/>
          <w:sz w:val="32"/>
          <w:szCs w:val="32"/>
        </w:rPr>
        <w:t>нформаци</w:t>
      </w:r>
      <w:r w:rsidRPr="006317DC">
        <w:rPr>
          <w:b/>
          <w:bCs/>
          <w:sz w:val="32"/>
          <w:szCs w:val="32"/>
        </w:rPr>
        <w:t xml:space="preserve">я </w:t>
      </w:r>
      <w:r w:rsidR="001A7860" w:rsidRPr="006317DC">
        <w:rPr>
          <w:b/>
          <w:bCs/>
          <w:sz w:val="32"/>
          <w:szCs w:val="32"/>
        </w:rPr>
        <w:t xml:space="preserve"> о практике достижения </w:t>
      </w:r>
      <w:proofErr w:type="gramStart"/>
      <w:r w:rsidR="001A7860" w:rsidRPr="006317DC">
        <w:rPr>
          <w:b/>
          <w:bCs/>
          <w:sz w:val="32"/>
          <w:szCs w:val="32"/>
        </w:rPr>
        <w:t>наилучш</w:t>
      </w:r>
      <w:r w:rsidRPr="006317DC">
        <w:rPr>
          <w:b/>
          <w:bCs/>
          <w:sz w:val="32"/>
          <w:szCs w:val="32"/>
        </w:rPr>
        <w:t>их</w:t>
      </w:r>
      <w:proofErr w:type="gramEnd"/>
    </w:p>
    <w:p w:rsidR="0073106E" w:rsidRPr="006317DC" w:rsidRDefault="001A7860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317DC">
        <w:rPr>
          <w:b/>
          <w:bCs/>
          <w:sz w:val="32"/>
          <w:szCs w:val="32"/>
        </w:rPr>
        <w:t>значени</w:t>
      </w:r>
      <w:r w:rsidR="0073106E" w:rsidRPr="006317DC">
        <w:rPr>
          <w:b/>
          <w:bCs/>
          <w:sz w:val="32"/>
          <w:szCs w:val="32"/>
        </w:rPr>
        <w:t>й</w:t>
      </w:r>
      <w:r w:rsidRPr="006317DC">
        <w:rPr>
          <w:b/>
          <w:bCs/>
          <w:sz w:val="32"/>
          <w:szCs w:val="32"/>
        </w:rPr>
        <w:t xml:space="preserve"> показател</w:t>
      </w:r>
      <w:r w:rsidR="0073106E" w:rsidRPr="006317DC">
        <w:rPr>
          <w:b/>
          <w:bCs/>
          <w:sz w:val="32"/>
          <w:szCs w:val="32"/>
        </w:rPr>
        <w:t>ей</w:t>
      </w:r>
      <w:r w:rsidR="006233BA" w:rsidRPr="006317DC">
        <w:rPr>
          <w:b/>
          <w:bCs/>
          <w:sz w:val="32"/>
          <w:szCs w:val="32"/>
        </w:rPr>
        <w:t xml:space="preserve"> </w:t>
      </w:r>
      <w:r w:rsidRPr="006317DC">
        <w:rPr>
          <w:b/>
          <w:bCs/>
          <w:sz w:val="32"/>
          <w:szCs w:val="32"/>
        </w:rPr>
        <w:t>за 201</w:t>
      </w:r>
      <w:r w:rsidR="00CC417F" w:rsidRPr="006317DC">
        <w:rPr>
          <w:b/>
          <w:bCs/>
          <w:sz w:val="32"/>
          <w:szCs w:val="32"/>
        </w:rPr>
        <w:t>4</w:t>
      </w:r>
      <w:r w:rsidRPr="006317DC">
        <w:rPr>
          <w:b/>
          <w:bCs/>
          <w:sz w:val="32"/>
          <w:szCs w:val="32"/>
        </w:rPr>
        <w:t xml:space="preserve"> год</w:t>
      </w:r>
    </w:p>
    <w:p w:rsidR="009E2072" w:rsidRPr="006317DC" w:rsidRDefault="009E2072" w:rsidP="0073106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C417F" w:rsidRDefault="00CC417F" w:rsidP="00CC417F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11352B">
        <w:rPr>
          <w:b/>
          <w:i/>
          <w:sz w:val="28"/>
          <w:szCs w:val="28"/>
        </w:rPr>
        <w:t>Показатель «Число субъектов малого и среднего предпринимательства в расчете на 10 тыс. человек населения»</w:t>
      </w:r>
    </w:p>
    <w:p w:rsidR="0011352B" w:rsidRPr="006317DC" w:rsidRDefault="0011352B" w:rsidP="00CC417F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CC417F" w:rsidRDefault="0011352B" w:rsidP="0011352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1352B">
        <w:rPr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  <w:r>
        <w:rPr>
          <w:sz w:val="28"/>
          <w:szCs w:val="28"/>
        </w:rPr>
        <w:t xml:space="preserve"> в 2014 году составило 456,9 единиц (2013 год – 438,2 един.). Положительная динамика показателя обусловлена </w:t>
      </w:r>
      <w:r w:rsidR="00EC35D0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</w:t>
      </w:r>
      <w:r w:rsidR="002E08A1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вновь открывшихся субъектов предпринимательства в 2014 году, количество субъектов предпринимательства в 2014 году увеличилось на 52 единицы и составило 1634 единицы (2013 год – 1582 единицы).</w:t>
      </w:r>
    </w:p>
    <w:p w:rsidR="0011352B" w:rsidRPr="006317DC" w:rsidRDefault="0011352B" w:rsidP="0011352B">
      <w:pPr>
        <w:widowControl w:val="0"/>
        <w:autoSpaceDE w:val="0"/>
        <w:autoSpaceDN w:val="0"/>
        <w:adjustRightInd w:val="0"/>
        <w:ind w:firstLine="720"/>
        <w:outlineLvl w:val="1"/>
        <w:rPr>
          <w:b/>
          <w:i/>
          <w:sz w:val="28"/>
          <w:szCs w:val="28"/>
        </w:rPr>
      </w:pPr>
    </w:p>
    <w:p w:rsidR="002943B6" w:rsidRPr="006317DC" w:rsidRDefault="002943B6" w:rsidP="002943B6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proofErr w:type="gramStart"/>
      <w:r w:rsidRPr="006317DC">
        <w:rPr>
          <w:b/>
          <w:i/>
          <w:sz w:val="28"/>
          <w:szCs w:val="28"/>
        </w:rPr>
        <w:t>Показатель «Объем инвестиций в основной капитал (за исключением</w:t>
      </w:r>
      <w:proofErr w:type="gramEnd"/>
    </w:p>
    <w:p w:rsidR="002943B6" w:rsidRPr="006317DC" w:rsidRDefault="002943B6" w:rsidP="002943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бюджетных средств) в расчете на одного жителя»</w:t>
      </w:r>
    </w:p>
    <w:p w:rsidR="002A2F13" w:rsidRPr="006317DC" w:rsidRDefault="002A2F13" w:rsidP="002943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50DFB" w:rsidRPr="006317DC" w:rsidRDefault="00150DFB" w:rsidP="00150DF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Toc355021686"/>
      <w:r w:rsidRPr="006317DC">
        <w:rPr>
          <w:sz w:val="28"/>
          <w:szCs w:val="28"/>
        </w:rPr>
        <w:t>Объем инвестиций в основной капитал (за исключением бюджетных средств) в расчете на одного жителя в 2014 году составил  1 726 362,0 руб. (2013 год - 1 963 316,0 руб.).</w:t>
      </w:r>
      <w:bookmarkEnd w:id="0"/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  <w:bookmarkStart w:id="1" w:name="_Toc355021688"/>
      <w:r w:rsidRPr="006317DC">
        <w:rPr>
          <w:sz w:val="28"/>
          <w:szCs w:val="28"/>
        </w:rPr>
        <w:t xml:space="preserve">В общем объеме инвестиций  - 94,1 % </w:t>
      </w:r>
      <w:proofErr w:type="gramStart"/>
      <w:r w:rsidRPr="006317DC">
        <w:rPr>
          <w:sz w:val="28"/>
          <w:szCs w:val="28"/>
        </w:rPr>
        <w:t>осуществлены</w:t>
      </w:r>
      <w:proofErr w:type="gramEnd"/>
      <w:r w:rsidRPr="006317DC">
        <w:rPr>
          <w:sz w:val="28"/>
          <w:szCs w:val="28"/>
        </w:rPr>
        <w:t xml:space="preserve"> за счет собственных средств организаций.</w:t>
      </w:r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  <w:r w:rsidRPr="006317DC">
        <w:rPr>
          <w:rStyle w:val="a9"/>
          <w:b w:val="0"/>
          <w:sz w:val="28"/>
          <w:szCs w:val="28"/>
        </w:rPr>
        <w:t xml:space="preserve">Наибольший удельный вес в структуре инвестиций в разрезе видов экономической деятельности занимают инвестиции по виду экономической деятельности </w:t>
      </w:r>
      <w:r w:rsidRPr="006317DC">
        <w:rPr>
          <w:sz w:val="28"/>
          <w:szCs w:val="28"/>
        </w:rPr>
        <w:t xml:space="preserve">«Добыча полезных ископаемых, предоставление услуг в этой области» – 94,6 %. Инвестиционные программы данной отрасли направленны на развитие и модернизацию производственных мощностей. </w:t>
      </w:r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 xml:space="preserve">Объемы инвестиционных программ ТЭК имеют важнейшее значение в  экономике района. В 2014 году завершена реализация крупнейшего инвестиционного проекта в электроэнергетической отрасли района – введен в эксплуатацию третий блок </w:t>
      </w:r>
      <w:proofErr w:type="spellStart"/>
      <w:r w:rsidRPr="006317DC">
        <w:rPr>
          <w:sz w:val="28"/>
          <w:szCs w:val="28"/>
        </w:rPr>
        <w:t>Нижневартовской</w:t>
      </w:r>
      <w:proofErr w:type="spellEnd"/>
      <w:r w:rsidRPr="006317DC">
        <w:rPr>
          <w:sz w:val="28"/>
          <w:szCs w:val="28"/>
        </w:rPr>
        <w:t xml:space="preserve"> ГРЭС. Доля предприятий по производству, передаче и распределению электроэнергии, газа, пара и горячей воды </w:t>
      </w:r>
      <w:r w:rsidRPr="006317DC">
        <w:rPr>
          <w:rStyle w:val="a9"/>
          <w:b w:val="0"/>
          <w:sz w:val="28"/>
          <w:szCs w:val="28"/>
        </w:rPr>
        <w:t xml:space="preserve">в структуре инвестиций </w:t>
      </w:r>
      <w:r w:rsidRPr="006317DC">
        <w:rPr>
          <w:sz w:val="28"/>
          <w:szCs w:val="28"/>
        </w:rPr>
        <w:t xml:space="preserve">составляет 2,2 %, доля обрабатывающих производств - 0,3%. На долю инвестиций в отраслях, не относящихся к промышленности (в том числе социальную сферу), приходится 2,9%. </w:t>
      </w:r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На достигнутый уровень инвестиционной привлекательности района и ожидаемую  положительную динамику планового периода оказывает влияние активная инвестиционная политика нефтегазодобывающих предприятий, а также политика, проводимой органами местного самоуправления района по обеспечению благоприятного инвестиционного климата.</w:t>
      </w:r>
    </w:p>
    <w:bookmarkEnd w:id="1"/>
    <w:p w:rsidR="003676FD" w:rsidRPr="006317DC" w:rsidRDefault="003676FD" w:rsidP="00F05BC3">
      <w:pPr>
        <w:ind w:firstLine="708"/>
        <w:jc w:val="both"/>
        <w:rPr>
          <w:bCs/>
          <w:iCs/>
          <w:sz w:val="28"/>
          <w:szCs w:val="28"/>
        </w:rPr>
      </w:pPr>
    </w:p>
    <w:p w:rsidR="00150DFB" w:rsidRDefault="00150DFB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150DFB" w:rsidRDefault="00150DFB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150DFB" w:rsidRDefault="00150DFB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150DFB" w:rsidRDefault="00150DFB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F05BC3" w:rsidRPr="006317DC" w:rsidRDefault="00F05BC3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lastRenderedPageBreak/>
        <w:t>Показатель «Доля детей в возрасте 1 - 6 лет, состоящих на учете</w:t>
      </w:r>
    </w:p>
    <w:p w:rsidR="00F05BC3" w:rsidRPr="006317DC" w:rsidRDefault="00F05BC3" w:rsidP="00F05BC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 xml:space="preserve">для определения </w:t>
      </w:r>
      <w:proofErr w:type="gramStart"/>
      <w:r w:rsidRPr="006317DC">
        <w:rPr>
          <w:b/>
          <w:i/>
          <w:sz w:val="28"/>
          <w:szCs w:val="28"/>
        </w:rPr>
        <w:t>в</w:t>
      </w:r>
      <w:proofErr w:type="gramEnd"/>
      <w:r w:rsidRPr="006317DC">
        <w:rPr>
          <w:b/>
          <w:i/>
          <w:sz w:val="28"/>
          <w:szCs w:val="28"/>
        </w:rPr>
        <w:t xml:space="preserve"> муниципальные дошкольные образовательные</w:t>
      </w:r>
    </w:p>
    <w:p w:rsidR="002943B6" w:rsidRPr="006317DC" w:rsidRDefault="00F05BC3" w:rsidP="002A2F1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учреждения, в общей численности детей в возрасте 1 - 6 лет»</w:t>
      </w:r>
    </w:p>
    <w:p w:rsidR="002A2F13" w:rsidRPr="006317DC" w:rsidRDefault="002A2F13" w:rsidP="002A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50DFB" w:rsidRPr="006317DC" w:rsidRDefault="00150DFB" w:rsidP="00150DFB">
      <w:pPr>
        <w:shd w:val="clear" w:color="auto" w:fill="FFFFFF"/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за 2014 год составила 1,8 % (2013 год – 5,8%).</w:t>
      </w:r>
    </w:p>
    <w:p w:rsidR="002A2F13" w:rsidRDefault="00150DFB" w:rsidP="00150DFB">
      <w:pPr>
        <w:ind w:firstLine="709"/>
        <w:jc w:val="both"/>
        <w:rPr>
          <w:color w:val="000000"/>
          <w:sz w:val="28"/>
          <w:szCs w:val="28"/>
        </w:rPr>
      </w:pPr>
      <w:bookmarkStart w:id="2" w:name="_Toc418155507"/>
      <w:r w:rsidRPr="006317DC">
        <w:rPr>
          <w:color w:val="000000"/>
          <w:sz w:val="28"/>
          <w:szCs w:val="28"/>
        </w:rPr>
        <w:t xml:space="preserve">Уменьшение доли детей, стоящих на учете для определения в дошкольные образовательные учреждения обеспечено за счет увеличения количества мест для детей дошкольного возраста, в том числе раннего, в связи  с открытием в </w:t>
      </w:r>
      <w:proofErr w:type="spellStart"/>
      <w:r w:rsidRPr="006317DC">
        <w:rPr>
          <w:color w:val="000000"/>
          <w:sz w:val="28"/>
          <w:szCs w:val="28"/>
        </w:rPr>
        <w:t>пгт</w:t>
      </w:r>
      <w:proofErr w:type="gramStart"/>
      <w:r w:rsidRPr="006317DC">
        <w:rPr>
          <w:color w:val="000000"/>
          <w:sz w:val="28"/>
          <w:szCs w:val="28"/>
        </w:rPr>
        <w:t>.И</w:t>
      </w:r>
      <w:proofErr w:type="gramEnd"/>
      <w:r w:rsidRPr="006317DC">
        <w:rPr>
          <w:color w:val="000000"/>
          <w:sz w:val="28"/>
          <w:szCs w:val="28"/>
        </w:rPr>
        <w:t>злучинск</w:t>
      </w:r>
      <w:proofErr w:type="spellEnd"/>
      <w:r w:rsidRPr="006317DC">
        <w:rPr>
          <w:color w:val="000000"/>
          <w:sz w:val="28"/>
          <w:szCs w:val="28"/>
        </w:rPr>
        <w:t xml:space="preserve"> детского сада на 260 мест, дополнительных групп кратковременного пребывания с организацией питания, выделением временных путевок на периоды отсутствия детей, увеличением количества мест в дошкольных образовательных учреждениях </w:t>
      </w:r>
      <w:proofErr w:type="spellStart"/>
      <w:r w:rsidRPr="006317DC">
        <w:rPr>
          <w:color w:val="000000"/>
          <w:sz w:val="28"/>
          <w:szCs w:val="28"/>
        </w:rPr>
        <w:t>д.Ваты</w:t>
      </w:r>
      <w:proofErr w:type="spellEnd"/>
      <w:r w:rsidRPr="006317DC">
        <w:rPr>
          <w:color w:val="000000"/>
          <w:sz w:val="28"/>
          <w:szCs w:val="28"/>
        </w:rPr>
        <w:t xml:space="preserve">, </w:t>
      </w:r>
      <w:proofErr w:type="spellStart"/>
      <w:r w:rsidRPr="006317DC">
        <w:rPr>
          <w:color w:val="000000"/>
          <w:sz w:val="28"/>
          <w:szCs w:val="28"/>
        </w:rPr>
        <w:t>с</w:t>
      </w:r>
      <w:proofErr w:type="gramStart"/>
      <w:r w:rsidRPr="006317DC">
        <w:rPr>
          <w:color w:val="000000"/>
          <w:sz w:val="28"/>
          <w:szCs w:val="28"/>
        </w:rPr>
        <w:t>.Б</w:t>
      </w:r>
      <w:proofErr w:type="gramEnd"/>
      <w:r w:rsidRPr="006317DC">
        <w:rPr>
          <w:color w:val="000000"/>
          <w:sz w:val="28"/>
          <w:szCs w:val="28"/>
        </w:rPr>
        <w:t>ольшетархово</w:t>
      </w:r>
      <w:proofErr w:type="spellEnd"/>
      <w:r w:rsidRPr="006317DC">
        <w:rPr>
          <w:color w:val="000000"/>
          <w:sz w:val="28"/>
          <w:szCs w:val="28"/>
        </w:rPr>
        <w:t xml:space="preserve"> за счет эффективного использования существующих площадей.</w:t>
      </w:r>
      <w:bookmarkEnd w:id="2"/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</w:p>
    <w:p w:rsidR="00F669D0" w:rsidRPr="006317DC" w:rsidRDefault="00F05BC3" w:rsidP="00F669D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Показатель «</w:t>
      </w:r>
      <w:r w:rsidR="00F669D0" w:rsidRPr="006317DC">
        <w:rPr>
          <w:b/>
          <w:i/>
          <w:sz w:val="28"/>
          <w:szCs w:val="28"/>
        </w:rPr>
        <w:t>Доля населения, получившего жилые помещения и улучшившего</w:t>
      </w:r>
      <w:r w:rsidR="00932FD6" w:rsidRPr="006317DC">
        <w:rPr>
          <w:b/>
          <w:i/>
          <w:sz w:val="28"/>
          <w:szCs w:val="28"/>
        </w:rPr>
        <w:t xml:space="preserve"> </w:t>
      </w:r>
      <w:r w:rsidR="00F669D0" w:rsidRPr="006317DC">
        <w:rPr>
          <w:b/>
          <w:i/>
          <w:sz w:val="28"/>
          <w:szCs w:val="28"/>
        </w:rPr>
        <w:t>жилищные условия в отчетном году, в общей численности</w:t>
      </w:r>
    </w:p>
    <w:p w:rsidR="00F05BC3" w:rsidRPr="006317DC" w:rsidRDefault="00F669D0" w:rsidP="00F669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населения, состоящего на учете в качестве нуждающегося в жилых помещениях»</w:t>
      </w:r>
    </w:p>
    <w:p w:rsidR="002A2F13" w:rsidRPr="006317DC" w:rsidRDefault="002A2F13" w:rsidP="00F669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50DFB" w:rsidRPr="006317DC" w:rsidRDefault="00150DFB" w:rsidP="00150DFB">
      <w:pPr>
        <w:ind w:firstLine="708"/>
        <w:jc w:val="both"/>
        <w:rPr>
          <w:sz w:val="28"/>
          <w:szCs w:val="28"/>
        </w:rPr>
      </w:pPr>
      <w:proofErr w:type="gramStart"/>
      <w:r w:rsidRPr="006317DC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составила 57,0 (2013 год - 42,9 %).</w:t>
      </w:r>
      <w:proofErr w:type="gramEnd"/>
    </w:p>
    <w:p w:rsidR="00150DFB" w:rsidRPr="006317DC" w:rsidRDefault="00150DFB" w:rsidP="00150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 xml:space="preserve">В 2014 году из </w:t>
      </w:r>
      <w:r w:rsidRPr="006317DC">
        <w:rPr>
          <w:color w:val="000000"/>
          <w:sz w:val="28"/>
          <w:szCs w:val="28"/>
        </w:rPr>
        <w:t xml:space="preserve">2 918 </w:t>
      </w:r>
      <w:r w:rsidRPr="006317DC">
        <w:rPr>
          <w:sz w:val="28"/>
          <w:szCs w:val="28"/>
        </w:rPr>
        <w:t xml:space="preserve"> граждан, состоящих на учете, улучшили  свои жилищные условия </w:t>
      </w:r>
      <w:r w:rsidRPr="006317DC">
        <w:rPr>
          <w:color w:val="000000"/>
          <w:sz w:val="28"/>
          <w:szCs w:val="28"/>
        </w:rPr>
        <w:t xml:space="preserve">1 668 </w:t>
      </w:r>
      <w:r w:rsidRPr="006317DC">
        <w:rPr>
          <w:sz w:val="28"/>
          <w:szCs w:val="28"/>
        </w:rPr>
        <w:t>человек.</w:t>
      </w:r>
    </w:p>
    <w:p w:rsidR="00150DFB" w:rsidRPr="006317DC" w:rsidRDefault="00150DFB" w:rsidP="00150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7DC">
        <w:rPr>
          <w:color w:val="000000"/>
          <w:sz w:val="28"/>
          <w:szCs w:val="28"/>
        </w:rPr>
        <w:t>Путем получения жилых помещений в порядке очередности по договорам социального найма, переселения из непригодного жилищного фонда, получение жилых помещений специализированного жилищного фонда улучшили жилищные условия  1 229 человек.</w:t>
      </w:r>
    </w:p>
    <w:p w:rsidR="00150DFB" w:rsidRPr="006317DC" w:rsidRDefault="00150DFB" w:rsidP="00150D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В рамках реализации программ:</w:t>
      </w:r>
    </w:p>
    <w:p w:rsidR="00150DFB" w:rsidRPr="006317DC" w:rsidRDefault="00150DFB" w:rsidP="00150DFB">
      <w:pPr>
        <w:ind w:firstLine="708"/>
        <w:jc w:val="both"/>
        <w:rPr>
          <w:bCs/>
          <w:sz w:val="28"/>
          <w:szCs w:val="28"/>
        </w:rPr>
      </w:pPr>
      <w:r w:rsidRPr="006317DC">
        <w:rPr>
          <w:color w:val="000000"/>
          <w:sz w:val="28"/>
          <w:szCs w:val="28"/>
        </w:rPr>
        <w:t xml:space="preserve">«Переселение жителей из населенного пункта с низкой плотностью населения и труднодоступной местностью Нижневартовского района (д. </w:t>
      </w:r>
      <w:proofErr w:type="spellStart"/>
      <w:r w:rsidRPr="006317DC">
        <w:rPr>
          <w:color w:val="000000"/>
          <w:sz w:val="28"/>
          <w:szCs w:val="28"/>
        </w:rPr>
        <w:t>Пугъюг</w:t>
      </w:r>
      <w:proofErr w:type="spellEnd"/>
      <w:r w:rsidRPr="006317DC">
        <w:rPr>
          <w:color w:val="000000"/>
          <w:sz w:val="28"/>
          <w:szCs w:val="28"/>
        </w:rPr>
        <w:t>) на 2014-2015» - 29 человек;</w:t>
      </w:r>
    </w:p>
    <w:p w:rsidR="00150DFB" w:rsidRPr="006317DC" w:rsidRDefault="00150DFB" w:rsidP="00150DFB">
      <w:pPr>
        <w:ind w:firstLine="708"/>
        <w:jc w:val="both"/>
        <w:rPr>
          <w:bCs/>
          <w:sz w:val="28"/>
          <w:szCs w:val="28"/>
        </w:rPr>
      </w:pPr>
      <w:r w:rsidRPr="006317DC">
        <w:rPr>
          <w:bCs/>
          <w:sz w:val="28"/>
          <w:szCs w:val="28"/>
        </w:rPr>
        <w:t>«Ликвидация приспособленных для проживания строений и расселение проживающих в них граждан» - 28 человек</w:t>
      </w:r>
    </w:p>
    <w:p w:rsidR="00150DFB" w:rsidRPr="006317DC" w:rsidRDefault="00150DFB" w:rsidP="00150DFB">
      <w:pPr>
        <w:ind w:firstLine="708"/>
        <w:jc w:val="both"/>
        <w:rPr>
          <w:bCs/>
          <w:sz w:val="28"/>
          <w:szCs w:val="28"/>
        </w:rPr>
      </w:pPr>
      <w:r w:rsidRPr="006317DC">
        <w:rPr>
          <w:bCs/>
          <w:sz w:val="28"/>
          <w:szCs w:val="28"/>
        </w:rPr>
        <w:t>Реализация мероприятий различных целевых программ (по предоставлению субсидий ветеранам боевых действий, инвалидам, молодым семьям, переселенцам за пределы автономного округа, ипотечное жилищное кредитование) позволила 382 гражданам улучшить свои жилищные условия.</w:t>
      </w:r>
    </w:p>
    <w:p w:rsidR="00BA749D" w:rsidRDefault="00BA749D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FB" w:rsidRDefault="00150DFB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FB" w:rsidRPr="006317DC" w:rsidRDefault="00150DFB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49D" w:rsidRPr="006317DC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lastRenderedPageBreak/>
        <w:t>Показатель «Доля многоквартирных домов, расположенных на земельных участках, в отношении которых осуществлен государственный кадастровый учет»</w:t>
      </w:r>
    </w:p>
    <w:p w:rsidR="00150DFB" w:rsidRDefault="00150DFB" w:rsidP="00150DFB">
      <w:pPr>
        <w:widowControl w:val="0"/>
        <w:autoSpaceDE w:val="0"/>
        <w:autoSpaceDN w:val="0"/>
        <w:adjustRightInd w:val="0"/>
        <w:ind w:left="-360" w:firstLine="720"/>
        <w:jc w:val="both"/>
        <w:outlineLvl w:val="1"/>
        <w:rPr>
          <w:rFonts w:eastAsiaTheme="minorEastAsia"/>
          <w:sz w:val="28"/>
          <w:szCs w:val="28"/>
        </w:rPr>
      </w:pPr>
      <w:r w:rsidRPr="006317DC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100% (</w:t>
      </w:r>
      <w:r w:rsidRPr="006317DC">
        <w:rPr>
          <w:rFonts w:eastAsiaTheme="minorEastAsia"/>
          <w:sz w:val="28"/>
          <w:szCs w:val="28"/>
        </w:rPr>
        <w:t xml:space="preserve">2013 год - 100,0 %). </w:t>
      </w:r>
    </w:p>
    <w:p w:rsidR="00150DFB" w:rsidRDefault="00150DFB" w:rsidP="00150DFB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6317DC">
        <w:rPr>
          <w:sz w:val="28"/>
          <w:szCs w:val="28"/>
        </w:rPr>
        <w:t>Положительная динамика показателя обусловлена выделением средств из бюджета района на проведение кадастровых работ</w:t>
      </w:r>
      <w:r>
        <w:rPr>
          <w:sz w:val="28"/>
          <w:szCs w:val="28"/>
        </w:rPr>
        <w:t xml:space="preserve"> по формированию  земельных участков под многоквартирными домами</w:t>
      </w:r>
      <w:r w:rsidRPr="006317DC">
        <w:rPr>
          <w:sz w:val="28"/>
          <w:szCs w:val="28"/>
        </w:rPr>
        <w:t>, что по</w:t>
      </w:r>
      <w:r>
        <w:rPr>
          <w:sz w:val="28"/>
          <w:szCs w:val="28"/>
        </w:rPr>
        <w:t>в</w:t>
      </w:r>
      <w:r w:rsidRPr="006317DC">
        <w:rPr>
          <w:sz w:val="28"/>
          <w:szCs w:val="28"/>
        </w:rPr>
        <w:t>лияло на увеличение числа многоквартирных домов, в отношении которых осуществлен кадастровый учет.</w:t>
      </w:r>
    </w:p>
    <w:p w:rsidR="00150DFB" w:rsidRPr="009D551B" w:rsidRDefault="00150DFB" w:rsidP="00150DF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551B">
        <w:rPr>
          <w:sz w:val="28"/>
          <w:szCs w:val="28"/>
        </w:rPr>
        <w:t xml:space="preserve">а территории района, работы по формированию земельных участков под многоквартирными домами, за счет средств бюджета района проводятся согласно муниципальной программе «Управление муниципальным имуществом на территории Нижневартовского района на 2014−2017 годы». </w:t>
      </w:r>
    </w:p>
    <w:p w:rsidR="00150DFB" w:rsidRPr="009D551B" w:rsidRDefault="00150DFB" w:rsidP="00150D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551B">
        <w:rPr>
          <w:sz w:val="28"/>
          <w:szCs w:val="28"/>
        </w:rPr>
        <w:t xml:space="preserve">Согласно данной программе, проведение вышеназванных мероприятий осуществляется посредством проведения электронных торгов на право заключения контракта на проведение кадастровых работ по формированию земельных участков под многоквартирными домами, </w:t>
      </w:r>
      <w:proofErr w:type="gramStart"/>
      <w:r w:rsidRPr="009D551B">
        <w:rPr>
          <w:sz w:val="28"/>
          <w:szCs w:val="28"/>
        </w:rPr>
        <w:t>который</w:t>
      </w:r>
      <w:proofErr w:type="gramEnd"/>
      <w:r w:rsidRPr="009D551B">
        <w:rPr>
          <w:sz w:val="28"/>
          <w:szCs w:val="28"/>
        </w:rPr>
        <w:t xml:space="preserve"> реализуется в течение календарного года. </w:t>
      </w:r>
    </w:p>
    <w:p w:rsidR="00150DFB" w:rsidRDefault="00150DFB" w:rsidP="00150DFB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9D551B">
        <w:rPr>
          <w:sz w:val="28"/>
          <w:szCs w:val="28"/>
        </w:rPr>
        <w:t>В ходе проведения работ по исполнению контракта в 2014 году было сформировано 48 земельных участков под многоквартирными домами.</w:t>
      </w:r>
    </w:p>
    <w:p w:rsidR="001B7F18" w:rsidRPr="006317DC" w:rsidRDefault="001B7F18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72681" w:rsidRPr="006317DC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 xml:space="preserve">Показатель «Площадь земельных участков, предоставленных для строительства, в отношении которых </w:t>
      </w:r>
      <w:proofErr w:type="gramStart"/>
      <w:r w:rsidRPr="006317DC">
        <w:rPr>
          <w:b/>
          <w:i/>
          <w:sz w:val="28"/>
          <w:szCs w:val="28"/>
        </w:rPr>
        <w:t>с даты принятия</w:t>
      </w:r>
      <w:proofErr w:type="gramEnd"/>
      <w:r w:rsidRPr="006317DC">
        <w:rPr>
          <w:b/>
          <w:i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672681" w:rsidRPr="006317DC">
        <w:rPr>
          <w:b/>
          <w:i/>
          <w:sz w:val="28"/>
          <w:szCs w:val="28"/>
        </w:rPr>
        <w:t xml:space="preserve"> </w:t>
      </w:r>
    </w:p>
    <w:p w:rsidR="00150DFB" w:rsidRPr="006317DC" w:rsidRDefault="00150DFB" w:rsidP="00150DFB">
      <w:pPr>
        <w:ind w:firstLine="720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Наилучшее значение показателя обеспечено за счет следующих мероприятий:</w:t>
      </w:r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 xml:space="preserve">Внесены изменения в генеральные планы и правила землепользования и застройки городских и сельских поселений района, </w:t>
      </w:r>
      <w:r w:rsidRPr="006317DC">
        <w:rPr>
          <w:sz w:val="28"/>
          <w:szCs w:val="28"/>
          <w:lang w:eastAsia="en-US"/>
        </w:rPr>
        <w:t xml:space="preserve">утверждены </w:t>
      </w:r>
      <w:r w:rsidRPr="006317DC">
        <w:rPr>
          <w:bCs/>
          <w:sz w:val="28"/>
          <w:szCs w:val="28"/>
        </w:rPr>
        <w:t xml:space="preserve">проекты планировки жилых кварталов </w:t>
      </w:r>
      <w:r w:rsidRPr="006317DC">
        <w:rPr>
          <w:sz w:val="28"/>
          <w:szCs w:val="28"/>
        </w:rPr>
        <w:t xml:space="preserve">в </w:t>
      </w:r>
      <w:proofErr w:type="spellStart"/>
      <w:r w:rsidRPr="006317DC">
        <w:rPr>
          <w:sz w:val="28"/>
          <w:szCs w:val="28"/>
        </w:rPr>
        <w:t>пгт</w:t>
      </w:r>
      <w:proofErr w:type="spellEnd"/>
      <w:r w:rsidRPr="006317DC">
        <w:rPr>
          <w:sz w:val="28"/>
          <w:szCs w:val="28"/>
        </w:rPr>
        <w:t xml:space="preserve">. </w:t>
      </w:r>
      <w:proofErr w:type="spellStart"/>
      <w:r w:rsidRPr="006317DC">
        <w:rPr>
          <w:sz w:val="28"/>
          <w:szCs w:val="28"/>
        </w:rPr>
        <w:t>Излучинске</w:t>
      </w:r>
      <w:proofErr w:type="spellEnd"/>
      <w:r w:rsidRPr="006317DC">
        <w:rPr>
          <w:sz w:val="28"/>
          <w:szCs w:val="28"/>
        </w:rPr>
        <w:t xml:space="preserve">. </w:t>
      </w:r>
    </w:p>
    <w:p w:rsidR="00150DFB" w:rsidRPr="006317DC" w:rsidRDefault="00150DFB" w:rsidP="00150DFB">
      <w:pPr>
        <w:ind w:firstLine="709"/>
        <w:jc w:val="both"/>
        <w:rPr>
          <w:sz w:val="28"/>
          <w:szCs w:val="28"/>
        </w:rPr>
      </w:pPr>
      <w:proofErr w:type="gramStart"/>
      <w:r w:rsidRPr="006317DC">
        <w:rPr>
          <w:sz w:val="28"/>
          <w:szCs w:val="28"/>
        </w:rPr>
        <w:t xml:space="preserve">Утверждено постановление администрации района от 07.08.2013 № 1672 «О плане мероприятий («дорожной карте») «Организация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 в Нижневартовском районе (2013–2018 годы)», в котором предусмотрены мероприятия, направленные на сокращение сроков прохождения разрешительных процедур в сфере строительства. </w:t>
      </w:r>
      <w:proofErr w:type="gramEnd"/>
    </w:p>
    <w:p w:rsidR="00150DFB" w:rsidRPr="006317DC" w:rsidRDefault="00150DFB" w:rsidP="00150DFB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17DC">
        <w:rPr>
          <w:sz w:val="28"/>
          <w:szCs w:val="28"/>
        </w:rPr>
        <w:t xml:space="preserve">Подготовка градостроительных планов, оформление разрешений на строительство и ввод объектов в эксплуатацию осуществляется на основании административных регламентов предоставления муниципальных услуг. Заявку на получение услуг, связанных с разрешительными процедурами в сфере </w:t>
      </w:r>
      <w:r w:rsidRPr="006317DC">
        <w:rPr>
          <w:sz w:val="28"/>
          <w:szCs w:val="28"/>
        </w:rPr>
        <w:lastRenderedPageBreak/>
        <w:t>строительства, можно подать в многофункциональном центре предоставления государственных и муниципальных услуг Нижневартовского района.</w:t>
      </w:r>
    </w:p>
    <w:p w:rsidR="00150DFB" w:rsidRPr="006317DC" w:rsidRDefault="00150DFB" w:rsidP="00150DFB">
      <w:pPr>
        <w:ind w:firstLine="720"/>
        <w:jc w:val="both"/>
        <w:rPr>
          <w:sz w:val="28"/>
          <w:szCs w:val="28"/>
        </w:rPr>
      </w:pPr>
      <w:r w:rsidRPr="006317DC">
        <w:rPr>
          <w:sz w:val="28"/>
          <w:szCs w:val="28"/>
        </w:rPr>
        <w:t xml:space="preserve">Принятые меры позволяют своевременно формировать и  последовательно осваивать земельные участки для жилищного строительства и иных объектов капитального строительства. </w:t>
      </w:r>
    </w:p>
    <w:p w:rsidR="00BA749D" w:rsidRPr="006317DC" w:rsidRDefault="00BA749D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GoBack"/>
      <w:bookmarkEnd w:id="3"/>
    </w:p>
    <w:p w:rsidR="00BA749D" w:rsidRPr="006317DC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BA749D" w:rsidRPr="006317DC" w:rsidRDefault="001E4765" w:rsidP="00BA74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в многоквартирных домах</w:t>
      </w:r>
      <w:r w:rsidR="00BA749D" w:rsidRPr="006317DC">
        <w:rPr>
          <w:b/>
          <w:i/>
          <w:sz w:val="28"/>
          <w:szCs w:val="28"/>
        </w:rPr>
        <w:t>»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В 201</w:t>
      </w:r>
      <w:r w:rsidR="008D6BBE" w:rsidRPr="006317DC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году удельная величина потребления энергетических ресурсов в многоквартирных домах на территории Нижневартовского района составила: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электрическая энергия –</w:t>
      </w:r>
      <w:r w:rsidR="008D6BBE" w:rsidRPr="006317DC">
        <w:rPr>
          <w:sz w:val="28"/>
          <w:szCs w:val="28"/>
        </w:rPr>
        <w:t xml:space="preserve"> 742,78 </w:t>
      </w:r>
      <w:r w:rsidRPr="006317DC">
        <w:rPr>
          <w:sz w:val="28"/>
          <w:szCs w:val="28"/>
        </w:rPr>
        <w:t>киловатт в час на 1 проживающего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– </w:t>
      </w:r>
      <w:r w:rsidR="008D6BBE" w:rsidRPr="006317DC">
        <w:rPr>
          <w:sz w:val="28"/>
          <w:szCs w:val="28"/>
        </w:rPr>
        <w:t xml:space="preserve">750,00  </w:t>
      </w:r>
      <w:r w:rsidRPr="006317DC">
        <w:rPr>
          <w:sz w:val="28"/>
          <w:szCs w:val="28"/>
        </w:rPr>
        <w:t>киловатт в час на 1 проживающего);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тепловая энергия – 0,1</w:t>
      </w:r>
      <w:r w:rsidR="008D6BBE" w:rsidRPr="006317DC">
        <w:rPr>
          <w:sz w:val="28"/>
          <w:szCs w:val="28"/>
        </w:rPr>
        <w:t>0</w:t>
      </w:r>
      <w:r w:rsidRPr="006317DC">
        <w:rPr>
          <w:sz w:val="28"/>
          <w:szCs w:val="28"/>
        </w:rPr>
        <w:t xml:space="preserve"> Гкал на 1кв. метр общей площади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- 0,1</w:t>
      </w:r>
      <w:r w:rsidR="008D6BBE" w:rsidRPr="006317DC">
        <w:rPr>
          <w:sz w:val="28"/>
          <w:szCs w:val="28"/>
        </w:rPr>
        <w:t>1</w:t>
      </w:r>
      <w:r w:rsidRPr="006317DC">
        <w:rPr>
          <w:sz w:val="28"/>
          <w:szCs w:val="28"/>
        </w:rPr>
        <w:t xml:space="preserve"> Гкал</w:t>
      </w:r>
      <w:proofErr w:type="gramStart"/>
      <w:r w:rsidRPr="006317DC">
        <w:rPr>
          <w:sz w:val="28"/>
          <w:szCs w:val="28"/>
        </w:rPr>
        <w:t>.</w:t>
      </w:r>
      <w:proofErr w:type="gramEnd"/>
      <w:r w:rsidRPr="006317DC">
        <w:rPr>
          <w:sz w:val="28"/>
          <w:szCs w:val="28"/>
        </w:rPr>
        <w:t xml:space="preserve"> </w:t>
      </w:r>
      <w:proofErr w:type="gramStart"/>
      <w:r w:rsidRPr="006317DC">
        <w:rPr>
          <w:sz w:val="28"/>
          <w:szCs w:val="28"/>
        </w:rPr>
        <w:t>н</w:t>
      </w:r>
      <w:proofErr w:type="gramEnd"/>
      <w:r w:rsidRPr="006317DC">
        <w:rPr>
          <w:sz w:val="28"/>
          <w:szCs w:val="28"/>
        </w:rPr>
        <w:t>а 1кв. метр общей площади);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горячая вода – 6,</w:t>
      </w:r>
      <w:r w:rsidR="008D6BBE" w:rsidRPr="006317DC">
        <w:rPr>
          <w:sz w:val="28"/>
          <w:szCs w:val="28"/>
        </w:rPr>
        <w:t>27</w:t>
      </w:r>
      <w:r w:rsidRPr="006317DC">
        <w:rPr>
          <w:sz w:val="28"/>
          <w:szCs w:val="28"/>
        </w:rPr>
        <w:t xml:space="preserve"> кубических метров на 1 проживающего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– </w:t>
      </w:r>
      <w:r w:rsidR="008D6BBE" w:rsidRPr="006317DC">
        <w:rPr>
          <w:sz w:val="28"/>
          <w:szCs w:val="28"/>
        </w:rPr>
        <w:t xml:space="preserve">6,30 </w:t>
      </w:r>
      <w:r w:rsidRPr="006317DC">
        <w:rPr>
          <w:sz w:val="28"/>
          <w:szCs w:val="28"/>
        </w:rPr>
        <w:t>кубических метров на 1 проживающего);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холодная вода –</w:t>
      </w:r>
      <w:r w:rsidR="008D6BBE" w:rsidRPr="006317DC">
        <w:rPr>
          <w:sz w:val="28"/>
          <w:szCs w:val="28"/>
        </w:rPr>
        <w:t xml:space="preserve"> 12,88 </w:t>
      </w:r>
      <w:r w:rsidRPr="006317DC">
        <w:rPr>
          <w:sz w:val="28"/>
          <w:szCs w:val="28"/>
        </w:rPr>
        <w:t>кубических метров на 1 проживающего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– </w:t>
      </w:r>
      <w:r w:rsidR="008D6BBE" w:rsidRPr="006317DC">
        <w:rPr>
          <w:sz w:val="28"/>
          <w:szCs w:val="28"/>
        </w:rPr>
        <w:t xml:space="preserve">13,00 </w:t>
      </w:r>
      <w:r w:rsidRPr="006317DC">
        <w:rPr>
          <w:sz w:val="28"/>
          <w:szCs w:val="28"/>
        </w:rPr>
        <w:t xml:space="preserve">кубических метров на 1 проживающего). </w:t>
      </w:r>
    </w:p>
    <w:p w:rsidR="00BA749D" w:rsidRPr="006317DC" w:rsidRDefault="003A640A" w:rsidP="008D6BBE">
      <w:pPr>
        <w:ind w:firstLine="709"/>
        <w:jc w:val="both"/>
        <w:rPr>
          <w:color w:val="000000"/>
          <w:sz w:val="28"/>
          <w:szCs w:val="28"/>
        </w:rPr>
      </w:pPr>
      <w:r w:rsidRPr="006317DC">
        <w:rPr>
          <w:sz w:val="28"/>
          <w:szCs w:val="28"/>
        </w:rPr>
        <w:t xml:space="preserve">Снижение  показателя удельной  величины потребления энергетических ресурсов  в многоквартирных домах связано с установкой общедомовых </w:t>
      </w:r>
      <w:proofErr w:type="gramStart"/>
      <w:r w:rsidRPr="006317DC">
        <w:rPr>
          <w:sz w:val="28"/>
          <w:szCs w:val="28"/>
        </w:rPr>
        <w:t xml:space="preserve">и </w:t>
      </w:r>
      <w:proofErr w:type="spellStart"/>
      <w:r w:rsidRPr="006317DC">
        <w:rPr>
          <w:sz w:val="28"/>
          <w:szCs w:val="28"/>
        </w:rPr>
        <w:t>ндивидуальных</w:t>
      </w:r>
      <w:proofErr w:type="spellEnd"/>
      <w:proofErr w:type="gramEnd"/>
      <w:r w:rsidRPr="006317DC">
        <w:rPr>
          <w:sz w:val="28"/>
          <w:szCs w:val="28"/>
        </w:rPr>
        <w:t xml:space="preserve"> приборов учета потребления энергетических ресурсов и воды, проведением мероприятий по энергосбережению.</w:t>
      </w:r>
      <w:r w:rsidR="008D6BBE" w:rsidRPr="006317DC">
        <w:rPr>
          <w:sz w:val="28"/>
          <w:szCs w:val="28"/>
        </w:rPr>
        <w:t xml:space="preserve"> </w:t>
      </w:r>
      <w:bookmarkStart w:id="4" w:name="_Toc418156473"/>
      <w:r w:rsidR="008D6BBE" w:rsidRPr="006317DC">
        <w:rPr>
          <w:color w:val="000000"/>
          <w:sz w:val="28"/>
          <w:szCs w:val="28"/>
        </w:rPr>
        <w:t>Снос непригодного жилья и переселение людей в новое жилье, оснащенное приборами учета, также способствует  снижению показателей потребления энергетических ресурсов в многоквартирных домах.</w:t>
      </w:r>
      <w:bookmarkEnd w:id="4"/>
    </w:p>
    <w:p w:rsidR="008D6BBE" w:rsidRPr="006317DC" w:rsidRDefault="008D6BBE" w:rsidP="008D6BBE">
      <w:pPr>
        <w:ind w:firstLine="709"/>
        <w:jc w:val="both"/>
        <w:rPr>
          <w:sz w:val="28"/>
          <w:szCs w:val="28"/>
        </w:rPr>
      </w:pPr>
    </w:p>
    <w:p w:rsidR="00504571" w:rsidRPr="006317DC" w:rsidRDefault="00504571" w:rsidP="00504571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97032F" w:rsidRPr="006317DC" w:rsidRDefault="00504571" w:rsidP="005045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муниципальными бюджетными учреждениями»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В 201</w:t>
      </w:r>
      <w:r w:rsidR="008D6BBE" w:rsidRPr="006317DC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году удельная величина потребления энергетических ресурсов муниципальными бюджетными учреждениями Нижневартовского района составила: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электрическая энергия –</w:t>
      </w:r>
      <w:r w:rsidR="008D6BBE" w:rsidRPr="006317DC">
        <w:rPr>
          <w:sz w:val="28"/>
          <w:szCs w:val="28"/>
        </w:rPr>
        <w:t xml:space="preserve"> 84,13 </w:t>
      </w:r>
      <w:r w:rsidRPr="006317DC">
        <w:rPr>
          <w:sz w:val="28"/>
          <w:szCs w:val="28"/>
        </w:rPr>
        <w:t>киловатт в час на 1 проживающего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- </w:t>
      </w:r>
      <w:r w:rsidR="008D6BBE" w:rsidRPr="006317DC">
        <w:rPr>
          <w:sz w:val="28"/>
          <w:szCs w:val="28"/>
        </w:rPr>
        <w:t xml:space="preserve">87,4 </w:t>
      </w:r>
      <w:r w:rsidRPr="006317DC">
        <w:rPr>
          <w:sz w:val="28"/>
          <w:szCs w:val="28"/>
        </w:rPr>
        <w:t>киловатт в час на 1 проживающего);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тепловая энергия – 0,1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Гкал на 1кв. метр общей площади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- 0,1</w:t>
      </w:r>
      <w:r w:rsidR="008D6BBE" w:rsidRPr="006317DC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Гкал</w:t>
      </w:r>
      <w:proofErr w:type="gramStart"/>
      <w:r w:rsidRPr="006317DC">
        <w:rPr>
          <w:sz w:val="28"/>
          <w:szCs w:val="28"/>
        </w:rPr>
        <w:t>.</w:t>
      </w:r>
      <w:proofErr w:type="gramEnd"/>
      <w:r w:rsidRPr="006317DC">
        <w:rPr>
          <w:sz w:val="28"/>
          <w:szCs w:val="28"/>
        </w:rPr>
        <w:t xml:space="preserve"> </w:t>
      </w:r>
      <w:proofErr w:type="gramStart"/>
      <w:r w:rsidRPr="006317DC">
        <w:rPr>
          <w:sz w:val="28"/>
          <w:szCs w:val="28"/>
        </w:rPr>
        <w:t>н</w:t>
      </w:r>
      <w:proofErr w:type="gramEnd"/>
      <w:r w:rsidRPr="006317DC">
        <w:rPr>
          <w:sz w:val="28"/>
          <w:szCs w:val="28"/>
        </w:rPr>
        <w:t>а 1кв. метр общей площади);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горячая вода - 0,03 кубических метров на 1 проживающего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- 0,03 кубических метров на 1 проживающего);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холодная вода –</w:t>
      </w:r>
      <w:r w:rsidR="008D6BBE" w:rsidRPr="006317DC">
        <w:rPr>
          <w:sz w:val="28"/>
          <w:szCs w:val="28"/>
        </w:rPr>
        <w:t xml:space="preserve"> 1,25 </w:t>
      </w:r>
      <w:r w:rsidRPr="006317DC">
        <w:rPr>
          <w:sz w:val="28"/>
          <w:szCs w:val="28"/>
        </w:rPr>
        <w:t>кубических метров на 1 проживающего (201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год - </w:t>
      </w:r>
      <w:r w:rsidR="008D6BBE" w:rsidRPr="006317DC">
        <w:rPr>
          <w:sz w:val="28"/>
          <w:szCs w:val="28"/>
        </w:rPr>
        <w:t xml:space="preserve">1,43 </w:t>
      </w:r>
      <w:r w:rsidRPr="006317DC">
        <w:rPr>
          <w:sz w:val="28"/>
          <w:szCs w:val="28"/>
        </w:rPr>
        <w:t xml:space="preserve">кубических метров на 1 проживающего). 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 xml:space="preserve">Снижение  показателя удельной  величины потребления энергетических ресурсов  бюджетными учреждениями </w:t>
      </w:r>
      <w:r w:rsidR="00731EC9" w:rsidRPr="006317DC">
        <w:rPr>
          <w:sz w:val="28"/>
          <w:szCs w:val="28"/>
        </w:rPr>
        <w:t>обеспечено за счет</w:t>
      </w:r>
      <w:r w:rsidRPr="006317DC">
        <w:rPr>
          <w:sz w:val="28"/>
          <w:szCs w:val="28"/>
        </w:rPr>
        <w:t>:</w:t>
      </w:r>
    </w:p>
    <w:p w:rsidR="00731EC9" w:rsidRPr="006317DC" w:rsidRDefault="00731EC9" w:rsidP="00D44725">
      <w:pPr>
        <w:ind w:firstLine="709"/>
        <w:jc w:val="both"/>
        <w:rPr>
          <w:color w:val="000000"/>
          <w:sz w:val="28"/>
          <w:szCs w:val="28"/>
        </w:rPr>
      </w:pPr>
      <w:bookmarkStart w:id="5" w:name="_Toc418156612"/>
      <w:r w:rsidRPr="006317DC">
        <w:rPr>
          <w:color w:val="000000"/>
          <w:sz w:val="28"/>
          <w:szCs w:val="28"/>
        </w:rPr>
        <w:t>- осуществления работ по установке приборов учета энергетических ресурсов в</w:t>
      </w:r>
      <w:r w:rsidR="008D6BBE" w:rsidRPr="006317DC">
        <w:rPr>
          <w:color w:val="000000"/>
          <w:sz w:val="28"/>
          <w:szCs w:val="28"/>
        </w:rPr>
        <w:t xml:space="preserve"> рамках программ в 2012-2013 годах</w:t>
      </w:r>
      <w:r w:rsidRPr="006317DC">
        <w:rPr>
          <w:color w:val="000000"/>
          <w:sz w:val="28"/>
          <w:szCs w:val="28"/>
        </w:rPr>
        <w:t xml:space="preserve">, </w:t>
      </w:r>
    </w:p>
    <w:p w:rsidR="006317DC" w:rsidRPr="006317DC" w:rsidRDefault="00731EC9" w:rsidP="006317DC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-</w:t>
      </w:r>
      <w:r w:rsidR="006317DC" w:rsidRPr="006317DC">
        <w:rPr>
          <w:sz w:val="28"/>
          <w:szCs w:val="28"/>
        </w:rPr>
        <w:t xml:space="preserve"> проведения энергетических обследований, оформления энергетических паспортов,  разработки и реализации энергосберегающих мероприятий. </w:t>
      </w:r>
    </w:p>
    <w:p w:rsidR="001E4765" w:rsidRPr="00731EC9" w:rsidRDefault="00731EC9" w:rsidP="00D44725">
      <w:pPr>
        <w:ind w:firstLine="709"/>
        <w:jc w:val="both"/>
        <w:rPr>
          <w:sz w:val="28"/>
          <w:szCs w:val="28"/>
        </w:rPr>
      </w:pPr>
      <w:r w:rsidRPr="006317DC">
        <w:rPr>
          <w:color w:val="000000"/>
          <w:sz w:val="28"/>
          <w:szCs w:val="28"/>
        </w:rPr>
        <w:lastRenderedPageBreak/>
        <w:t xml:space="preserve">Также </w:t>
      </w:r>
      <w:r w:rsidR="008D6BBE" w:rsidRPr="006317DC">
        <w:rPr>
          <w:color w:val="000000"/>
          <w:sz w:val="28"/>
          <w:szCs w:val="28"/>
        </w:rPr>
        <w:t>передач</w:t>
      </w:r>
      <w:r w:rsidRPr="006317DC">
        <w:rPr>
          <w:color w:val="000000"/>
          <w:sz w:val="28"/>
          <w:szCs w:val="28"/>
        </w:rPr>
        <w:t>а</w:t>
      </w:r>
      <w:r w:rsidR="008D6BBE" w:rsidRPr="006317DC">
        <w:rPr>
          <w:color w:val="000000"/>
          <w:sz w:val="28"/>
          <w:szCs w:val="28"/>
        </w:rPr>
        <w:t xml:space="preserve"> полномочий с 2014 года органами местного самоуправления организаций здравоохранения в государственную собственность округа</w:t>
      </w:r>
      <w:r w:rsidRPr="006317DC">
        <w:rPr>
          <w:color w:val="000000"/>
          <w:sz w:val="28"/>
          <w:szCs w:val="28"/>
        </w:rPr>
        <w:t>,</w:t>
      </w:r>
      <w:r w:rsidR="008D6BBE" w:rsidRPr="006317DC">
        <w:rPr>
          <w:color w:val="000000"/>
          <w:sz w:val="28"/>
          <w:szCs w:val="28"/>
        </w:rPr>
        <w:t xml:space="preserve"> способствовали снижению   величины потребления энергетических ресурсов муниципальными бюджетными учреждениями.</w:t>
      </w:r>
      <w:bookmarkEnd w:id="5"/>
    </w:p>
    <w:p w:rsidR="001E4765" w:rsidRPr="00731EC9" w:rsidRDefault="001E4765" w:rsidP="00D44725">
      <w:pPr>
        <w:ind w:firstLine="709"/>
        <w:jc w:val="both"/>
        <w:rPr>
          <w:sz w:val="28"/>
          <w:szCs w:val="28"/>
        </w:rPr>
      </w:pPr>
    </w:p>
    <w:p w:rsidR="001E4765" w:rsidRPr="0078273E" w:rsidRDefault="001E4765" w:rsidP="00D44725">
      <w:pPr>
        <w:ind w:firstLine="709"/>
        <w:jc w:val="both"/>
        <w:rPr>
          <w:sz w:val="28"/>
          <w:szCs w:val="28"/>
        </w:rPr>
      </w:pPr>
    </w:p>
    <w:sectPr w:rsidR="001E4765" w:rsidRPr="0078273E" w:rsidSect="00AE7B4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FE" w:rsidRDefault="00321CFE">
      <w:r>
        <w:separator/>
      </w:r>
    </w:p>
  </w:endnote>
  <w:endnote w:type="continuationSeparator" w:id="0">
    <w:p w:rsidR="00321CFE" w:rsidRDefault="003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FE" w:rsidRDefault="00321CFE">
      <w:r>
        <w:separator/>
      </w:r>
    </w:p>
  </w:footnote>
  <w:footnote w:type="continuationSeparator" w:id="0">
    <w:p w:rsidR="00321CFE" w:rsidRDefault="0032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55A"/>
    <w:multiLevelType w:val="hybridMultilevel"/>
    <w:tmpl w:val="49F0D92E"/>
    <w:lvl w:ilvl="0" w:tplc="D19A9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60"/>
    <w:rsid w:val="00001F1D"/>
    <w:rsid w:val="00013405"/>
    <w:rsid w:val="000645F9"/>
    <w:rsid w:val="000739F8"/>
    <w:rsid w:val="000768EA"/>
    <w:rsid w:val="000F23E7"/>
    <w:rsid w:val="000F3505"/>
    <w:rsid w:val="000F4F04"/>
    <w:rsid w:val="00101CC3"/>
    <w:rsid w:val="0011352B"/>
    <w:rsid w:val="00121116"/>
    <w:rsid w:val="00123329"/>
    <w:rsid w:val="00134FDB"/>
    <w:rsid w:val="00150DFB"/>
    <w:rsid w:val="0015744D"/>
    <w:rsid w:val="00183F8B"/>
    <w:rsid w:val="001A7860"/>
    <w:rsid w:val="001B575D"/>
    <w:rsid w:val="001B7284"/>
    <w:rsid w:val="001B7F18"/>
    <w:rsid w:val="001C7CF2"/>
    <w:rsid w:val="001D2D13"/>
    <w:rsid w:val="001E4379"/>
    <w:rsid w:val="001E4765"/>
    <w:rsid w:val="001E705E"/>
    <w:rsid w:val="001F6249"/>
    <w:rsid w:val="002026B5"/>
    <w:rsid w:val="0022310C"/>
    <w:rsid w:val="0022711C"/>
    <w:rsid w:val="002344E5"/>
    <w:rsid w:val="00240193"/>
    <w:rsid w:val="00246F2A"/>
    <w:rsid w:val="002533C8"/>
    <w:rsid w:val="00255399"/>
    <w:rsid w:val="00285A1D"/>
    <w:rsid w:val="002943B6"/>
    <w:rsid w:val="002A2F13"/>
    <w:rsid w:val="002E08A1"/>
    <w:rsid w:val="00302C5A"/>
    <w:rsid w:val="0031269F"/>
    <w:rsid w:val="00321CFE"/>
    <w:rsid w:val="00327D57"/>
    <w:rsid w:val="00327E6F"/>
    <w:rsid w:val="003350A7"/>
    <w:rsid w:val="003676FD"/>
    <w:rsid w:val="0037543A"/>
    <w:rsid w:val="003839B9"/>
    <w:rsid w:val="0038693B"/>
    <w:rsid w:val="003A640A"/>
    <w:rsid w:val="003D10BF"/>
    <w:rsid w:val="003E5CB0"/>
    <w:rsid w:val="00417E80"/>
    <w:rsid w:val="00485C77"/>
    <w:rsid w:val="004C401D"/>
    <w:rsid w:val="004C4F40"/>
    <w:rsid w:val="004C7DDA"/>
    <w:rsid w:val="00504571"/>
    <w:rsid w:val="00521D50"/>
    <w:rsid w:val="00551100"/>
    <w:rsid w:val="00572E87"/>
    <w:rsid w:val="00585A48"/>
    <w:rsid w:val="005A57AD"/>
    <w:rsid w:val="005B1D9D"/>
    <w:rsid w:val="005B4F9F"/>
    <w:rsid w:val="005D423D"/>
    <w:rsid w:val="006021BB"/>
    <w:rsid w:val="006233BA"/>
    <w:rsid w:val="006317DC"/>
    <w:rsid w:val="00672681"/>
    <w:rsid w:val="006B1882"/>
    <w:rsid w:val="006B6E09"/>
    <w:rsid w:val="006C5A02"/>
    <w:rsid w:val="006C7485"/>
    <w:rsid w:val="006D7D25"/>
    <w:rsid w:val="006E3F37"/>
    <w:rsid w:val="00707F16"/>
    <w:rsid w:val="0073106E"/>
    <w:rsid w:val="00731EC9"/>
    <w:rsid w:val="007541D9"/>
    <w:rsid w:val="00755DEF"/>
    <w:rsid w:val="007668E3"/>
    <w:rsid w:val="0078273E"/>
    <w:rsid w:val="007C211D"/>
    <w:rsid w:val="007F6061"/>
    <w:rsid w:val="0082479D"/>
    <w:rsid w:val="008915CD"/>
    <w:rsid w:val="0089794D"/>
    <w:rsid w:val="008A5A2F"/>
    <w:rsid w:val="008D6BBE"/>
    <w:rsid w:val="008D6D74"/>
    <w:rsid w:val="008D77AB"/>
    <w:rsid w:val="00912605"/>
    <w:rsid w:val="00931D84"/>
    <w:rsid w:val="00932FD6"/>
    <w:rsid w:val="009553BC"/>
    <w:rsid w:val="00957830"/>
    <w:rsid w:val="0097032F"/>
    <w:rsid w:val="0098754C"/>
    <w:rsid w:val="009D0062"/>
    <w:rsid w:val="009D6BBC"/>
    <w:rsid w:val="009E2072"/>
    <w:rsid w:val="009F4AF8"/>
    <w:rsid w:val="009F5C57"/>
    <w:rsid w:val="00A16DE8"/>
    <w:rsid w:val="00A20045"/>
    <w:rsid w:val="00A4258A"/>
    <w:rsid w:val="00A6746E"/>
    <w:rsid w:val="00A67F7E"/>
    <w:rsid w:val="00A9639F"/>
    <w:rsid w:val="00AE0898"/>
    <w:rsid w:val="00AE1587"/>
    <w:rsid w:val="00AF5E0F"/>
    <w:rsid w:val="00B50F43"/>
    <w:rsid w:val="00B60494"/>
    <w:rsid w:val="00B65377"/>
    <w:rsid w:val="00B662AB"/>
    <w:rsid w:val="00B92333"/>
    <w:rsid w:val="00B96004"/>
    <w:rsid w:val="00BA749D"/>
    <w:rsid w:val="00BD2562"/>
    <w:rsid w:val="00BE0940"/>
    <w:rsid w:val="00C0514D"/>
    <w:rsid w:val="00C0549F"/>
    <w:rsid w:val="00C070B3"/>
    <w:rsid w:val="00C12AF3"/>
    <w:rsid w:val="00C24D0D"/>
    <w:rsid w:val="00C35C82"/>
    <w:rsid w:val="00C42D7A"/>
    <w:rsid w:val="00C931FE"/>
    <w:rsid w:val="00CC417F"/>
    <w:rsid w:val="00CC772E"/>
    <w:rsid w:val="00CD1AFE"/>
    <w:rsid w:val="00D0126A"/>
    <w:rsid w:val="00D16312"/>
    <w:rsid w:val="00D16D12"/>
    <w:rsid w:val="00D30518"/>
    <w:rsid w:val="00D32DBD"/>
    <w:rsid w:val="00D44725"/>
    <w:rsid w:val="00D733E1"/>
    <w:rsid w:val="00D81442"/>
    <w:rsid w:val="00D95094"/>
    <w:rsid w:val="00DC68F4"/>
    <w:rsid w:val="00E23D9E"/>
    <w:rsid w:val="00E270B0"/>
    <w:rsid w:val="00E33EB3"/>
    <w:rsid w:val="00E43BFD"/>
    <w:rsid w:val="00E6119F"/>
    <w:rsid w:val="00E64D29"/>
    <w:rsid w:val="00E7432B"/>
    <w:rsid w:val="00E91C3A"/>
    <w:rsid w:val="00E97970"/>
    <w:rsid w:val="00EC35D0"/>
    <w:rsid w:val="00EE57A9"/>
    <w:rsid w:val="00EE6722"/>
    <w:rsid w:val="00F05683"/>
    <w:rsid w:val="00F05BC3"/>
    <w:rsid w:val="00F25C64"/>
    <w:rsid w:val="00F41838"/>
    <w:rsid w:val="00F5186C"/>
    <w:rsid w:val="00F528AB"/>
    <w:rsid w:val="00F6142D"/>
    <w:rsid w:val="00F669D0"/>
    <w:rsid w:val="00F72323"/>
    <w:rsid w:val="00FA38DB"/>
    <w:rsid w:val="00FB4DEF"/>
    <w:rsid w:val="00FC7E78"/>
    <w:rsid w:val="00FE2B7C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5A02"/>
    <w:pPr>
      <w:spacing w:before="100" w:beforeAutospacing="1" w:after="100" w:afterAutospacing="1"/>
    </w:pPr>
    <w:rPr>
      <w:rFonts w:eastAsiaTheme="minorEastAsia"/>
    </w:rPr>
  </w:style>
  <w:style w:type="paragraph" w:styleId="2">
    <w:name w:val="Body Text 2"/>
    <w:basedOn w:val="a"/>
    <w:link w:val="20"/>
    <w:uiPriority w:val="99"/>
    <w:semiHidden/>
    <w:unhideWhenUsed/>
    <w:rsid w:val="00150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0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Усманова Наталья Рамилевна</cp:lastModifiedBy>
  <cp:revision>9</cp:revision>
  <cp:lastPrinted>2014-10-13T03:53:00Z</cp:lastPrinted>
  <dcterms:created xsi:type="dcterms:W3CDTF">2015-08-17T10:30:00Z</dcterms:created>
  <dcterms:modified xsi:type="dcterms:W3CDTF">2015-08-31T07:33:00Z</dcterms:modified>
</cp:coreProperties>
</file>