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CF2" w:rsidRPr="0078273E" w:rsidRDefault="0073106E" w:rsidP="00C0549F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78273E">
        <w:rPr>
          <w:b/>
          <w:bCs/>
          <w:sz w:val="32"/>
          <w:szCs w:val="32"/>
        </w:rPr>
        <w:t>И</w:t>
      </w:r>
      <w:r w:rsidR="001A7860" w:rsidRPr="0078273E">
        <w:rPr>
          <w:b/>
          <w:bCs/>
          <w:sz w:val="32"/>
          <w:szCs w:val="32"/>
        </w:rPr>
        <w:t>нформаци</w:t>
      </w:r>
      <w:r w:rsidRPr="0078273E">
        <w:rPr>
          <w:b/>
          <w:bCs/>
          <w:sz w:val="32"/>
          <w:szCs w:val="32"/>
        </w:rPr>
        <w:t xml:space="preserve">я </w:t>
      </w:r>
      <w:r w:rsidR="001A7860" w:rsidRPr="0078273E">
        <w:rPr>
          <w:b/>
          <w:bCs/>
          <w:sz w:val="32"/>
          <w:szCs w:val="32"/>
        </w:rPr>
        <w:t xml:space="preserve"> о практике достижения наилучш</w:t>
      </w:r>
      <w:r w:rsidRPr="0078273E">
        <w:rPr>
          <w:b/>
          <w:bCs/>
          <w:sz w:val="32"/>
          <w:szCs w:val="32"/>
        </w:rPr>
        <w:t>их</w:t>
      </w:r>
    </w:p>
    <w:p w:rsidR="0073106E" w:rsidRPr="0078273E" w:rsidRDefault="001A7860" w:rsidP="00C0549F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78273E">
        <w:rPr>
          <w:b/>
          <w:bCs/>
          <w:sz w:val="32"/>
          <w:szCs w:val="32"/>
        </w:rPr>
        <w:t>значени</w:t>
      </w:r>
      <w:r w:rsidR="0073106E" w:rsidRPr="0078273E">
        <w:rPr>
          <w:b/>
          <w:bCs/>
          <w:sz w:val="32"/>
          <w:szCs w:val="32"/>
        </w:rPr>
        <w:t>й</w:t>
      </w:r>
      <w:r w:rsidRPr="0078273E">
        <w:rPr>
          <w:b/>
          <w:bCs/>
          <w:sz w:val="32"/>
          <w:szCs w:val="32"/>
        </w:rPr>
        <w:t xml:space="preserve"> показател</w:t>
      </w:r>
      <w:r w:rsidR="0073106E" w:rsidRPr="0078273E">
        <w:rPr>
          <w:b/>
          <w:bCs/>
          <w:sz w:val="32"/>
          <w:szCs w:val="32"/>
        </w:rPr>
        <w:t>ей</w:t>
      </w:r>
      <w:r w:rsidR="006233BA" w:rsidRPr="0078273E">
        <w:rPr>
          <w:b/>
          <w:bCs/>
          <w:sz w:val="32"/>
          <w:szCs w:val="32"/>
        </w:rPr>
        <w:t xml:space="preserve"> </w:t>
      </w:r>
      <w:r w:rsidRPr="0078273E">
        <w:rPr>
          <w:b/>
          <w:bCs/>
          <w:sz w:val="32"/>
          <w:szCs w:val="32"/>
        </w:rPr>
        <w:t>за 201</w:t>
      </w:r>
      <w:r w:rsidR="006233BA" w:rsidRPr="0078273E">
        <w:rPr>
          <w:b/>
          <w:bCs/>
          <w:sz w:val="32"/>
          <w:szCs w:val="32"/>
        </w:rPr>
        <w:t>3</w:t>
      </w:r>
      <w:r w:rsidRPr="0078273E">
        <w:rPr>
          <w:b/>
          <w:bCs/>
          <w:sz w:val="32"/>
          <w:szCs w:val="32"/>
        </w:rPr>
        <w:t xml:space="preserve"> год</w:t>
      </w:r>
    </w:p>
    <w:p w:rsidR="009E2072" w:rsidRPr="0078273E" w:rsidRDefault="009E2072" w:rsidP="0073106E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</w:p>
    <w:p w:rsidR="002943B6" w:rsidRPr="0078273E" w:rsidRDefault="002943B6" w:rsidP="002943B6">
      <w:pPr>
        <w:widowControl w:val="0"/>
        <w:autoSpaceDE w:val="0"/>
        <w:autoSpaceDN w:val="0"/>
        <w:adjustRightInd w:val="0"/>
        <w:jc w:val="center"/>
        <w:outlineLvl w:val="1"/>
        <w:rPr>
          <w:b/>
          <w:i/>
          <w:sz w:val="28"/>
          <w:szCs w:val="28"/>
        </w:rPr>
      </w:pPr>
      <w:r w:rsidRPr="0078273E">
        <w:rPr>
          <w:b/>
          <w:i/>
          <w:sz w:val="28"/>
          <w:szCs w:val="28"/>
        </w:rPr>
        <w:t>Показатель «Объем инвестиций в основной капитал (за исключением</w:t>
      </w:r>
    </w:p>
    <w:p w:rsidR="002943B6" w:rsidRPr="0078273E" w:rsidRDefault="002943B6" w:rsidP="002943B6">
      <w:pPr>
        <w:widowControl w:val="0"/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  <w:r w:rsidRPr="0078273E">
        <w:rPr>
          <w:b/>
          <w:i/>
          <w:sz w:val="28"/>
          <w:szCs w:val="28"/>
        </w:rPr>
        <w:t>бюджетных средств) в расчете на одного жителя»</w:t>
      </w:r>
    </w:p>
    <w:p w:rsidR="002A2F13" w:rsidRPr="0078273E" w:rsidRDefault="002A2F13" w:rsidP="002943B6">
      <w:pPr>
        <w:widowControl w:val="0"/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</w:p>
    <w:p w:rsidR="0031269F" w:rsidRPr="0078273E" w:rsidRDefault="0031269F" w:rsidP="0031269F">
      <w:pPr>
        <w:shd w:val="clear" w:color="auto" w:fill="FFFFFF"/>
        <w:ind w:firstLine="709"/>
        <w:jc w:val="both"/>
        <w:rPr>
          <w:sz w:val="28"/>
          <w:szCs w:val="28"/>
        </w:rPr>
      </w:pPr>
      <w:bookmarkStart w:id="0" w:name="_Toc355021686"/>
      <w:r w:rsidRPr="0078273E">
        <w:rPr>
          <w:sz w:val="28"/>
          <w:szCs w:val="28"/>
        </w:rPr>
        <w:t>Объем инвестиций в основной капитал (за исключением бюджетных средств) в расчете на одного жителя в 2013 году составил 2 358 944,0 руб. (2012 год - 1 419 167,0 руб.).</w:t>
      </w:r>
      <w:bookmarkEnd w:id="0"/>
    </w:p>
    <w:p w:rsidR="0031269F" w:rsidRPr="0078273E" w:rsidRDefault="0031269F" w:rsidP="0031269F">
      <w:pPr>
        <w:ind w:firstLine="709"/>
        <w:jc w:val="both"/>
        <w:rPr>
          <w:sz w:val="28"/>
          <w:szCs w:val="28"/>
        </w:rPr>
      </w:pPr>
      <w:bookmarkStart w:id="1" w:name="_Toc355021688"/>
      <w:r w:rsidRPr="0078273E">
        <w:rPr>
          <w:rStyle w:val="a9"/>
          <w:b w:val="0"/>
          <w:sz w:val="28"/>
          <w:szCs w:val="28"/>
        </w:rPr>
        <w:t xml:space="preserve">Наибольший удельный вес в структуре инвестиций в разрезе видов экономической деятельности занимают инвестиции по виду экономической деятельности </w:t>
      </w:r>
      <w:r w:rsidRPr="0078273E">
        <w:rPr>
          <w:sz w:val="28"/>
          <w:szCs w:val="28"/>
        </w:rPr>
        <w:t>«Добыча полезных ископаемых, предоставление услуг в этой области» – 89,2 %. В 2013 году показатель по данной отрасли увеличился в 1,3 раза по сравнению с 2012 годом. В общем объеме инвестиций 92,2 % осуществлены за счет собственных средств организаций.</w:t>
      </w:r>
      <w:r w:rsidRPr="0078273E">
        <w:rPr>
          <w:rStyle w:val="a9"/>
          <w:b w:val="0"/>
          <w:sz w:val="28"/>
          <w:szCs w:val="28"/>
        </w:rPr>
        <w:t xml:space="preserve"> Н</w:t>
      </w:r>
      <w:r w:rsidRPr="0078273E">
        <w:rPr>
          <w:sz w:val="28"/>
          <w:szCs w:val="28"/>
        </w:rPr>
        <w:t>ефтегазодобывающие компании реализуют инвестиционные проекты, направленные на развитие и модернизацию производственных мощностей.</w:t>
      </w:r>
    </w:p>
    <w:p w:rsidR="0031269F" w:rsidRPr="0078273E" w:rsidRDefault="0031269F" w:rsidP="0031269F">
      <w:pPr>
        <w:ind w:firstLine="709"/>
        <w:jc w:val="both"/>
        <w:rPr>
          <w:sz w:val="28"/>
          <w:szCs w:val="28"/>
        </w:rPr>
      </w:pPr>
      <w:r w:rsidRPr="0078273E">
        <w:rPr>
          <w:sz w:val="28"/>
          <w:szCs w:val="28"/>
        </w:rPr>
        <w:t xml:space="preserve">Доля предприятий по производству, передаче и распределению электроэнергии, газа, пара и горячей воды </w:t>
      </w:r>
      <w:r w:rsidRPr="0078273E">
        <w:rPr>
          <w:rStyle w:val="a9"/>
          <w:b w:val="0"/>
          <w:sz w:val="28"/>
          <w:szCs w:val="28"/>
        </w:rPr>
        <w:t xml:space="preserve">в структуре инвестиций </w:t>
      </w:r>
      <w:r w:rsidRPr="0078273E">
        <w:rPr>
          <w:sz w:val="28"/>
          <w:szCs w:val="28"/>
        </w:rPr>
        <w:t>составляет</w:t>
      </w:r>
      <w:r w:rsidR="009D6BBC">
        <w:rPr>
          <w:sz w:val="28"/>
          <w:szCs w:val="28"/>
        </w:rPr>
        <w:t xml:space="preserve"> 7,9 %, доминирующая часть </w:t>
      </w:r>
      <w:r w:rsidRPr="0078273E">
        <w:rPr>
          <w:sz w:val="28"/>
          <w:szCs w:val="28"/>
        </w:rPr>
        <w:t xml:space="preserve"> инвестиций </w:t>
      </w:r>
      <w:r w:rsidR="009D6BBC" w:rsidRPr="0078273E">
        <w:rPr>
          <w:sz w:val="28"/>
          <w:szCs w:val="28"/>
        </w:rPr>
        <w:t xml:space="preserve">7,3 </w:t>
      </w:r>
      <w:r w:rsidR="009D6BBC">
        <w:rPr>
          <w:sz w:val="28"/>
          <w:szCs w:val="28"/>
        </w:rPr>
        <w:t>%</w:t>
      </w:r>
      <w:r w:rsidR="009D6BBC" w:rsidRPr="0078273E">
        <w:rPr>
          <w:sz w:val="28"/>
          <w:szCs w:val="28"/>
        </w:rPr>
        <w:t xml:space="preserve"> </w:t>
      </w:r>
      <w:r w:rsidRPr="0078273E">
        <w:rPr>
          <w:sz w:val="28"/>
          <w:szCs w:val="28"/>
        </w:rPr>
        <w:t>освоено Нижневартовской ГРЭС, реализующей инвестиционный проект по строительству третьего энергоблока (начало строительства в июле 2011 года, ввод в эксплуатацию осуществлен в марте 2014 года).</w:t>
      </w:r>
    </w:p>
    <w:p w:rsidR="0031269F" w:rsidRPr="0078273E" w:rsidRDefault="0031269F" w:rsidP="0031269F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firstLine="660"/>
        <w:jc w:val="both"/>
        <w:rPr>
          <w:sz w:val="28"/>
          <w:szCs w:val="28"/>
        </w:rPr>
      </w:pPr>
      <w:r w:rsidRPr="0078273E">
        <w:rPr>
          <w:sz w:val="28"/>
          <w:szCs w:val="28"/>
        </w:rPr>
        <w:t>В структуре инвестиций доля обрабатывающи</w:t>
      </w:r>
      <w:r w:rsidR="0038693B">
        <w:rPr>
          <w:sz w:val="28"/>
          <w:szCs w:val="28"/>
        </w:rPr>
        <w:t>х</w:t>
      </w:r>
      <w:r w:rsidRPr="0078273E">
        <w:rPr>
          <w:sz w:val="28"/>
          <w:szCs w:val="28"/>
        </w:rPr>
        <w:t xml:space="preserve"> производств</w:t>
      </w:r>
      <w:r w:rsidR="0038693B">
        <w:rPr>
          <w:sz w:val="28"/>
          <w:szCs w:val="28"/>
        </w:rPr>
        <w:t>,</w:t>
      </w:r>
      <w:r w:rsidRPr="0078273E">
        <w:rPr>
          <w:sz w:val="28"/>
          <w:szCs w:val="28"/>
        </w:rPr>
        <w:t xml:space="preserve"> транспортн</w:t>
      </w:r>
      <w:r w:rsidR="0038693B">
        <w:rPr>
          <w:sz w:val="28"/>
          <w:szCs w:val="28"/>
        </w:rPr>
        <w:t>ой</w:t>
      </w:r>
      <w:r w:rsidRPr="0078273E">
        <w:rPr>
          <w:sz w:val="28"/>
          <w:szCs w:val="28"/>
        </w:rPr>
        <w:t xml:space="preserve"> и социальн</w:t>
      </w:r>
      <w:r w:rsidR="0038693B">
        <w:rPr>
          <w:sz w:val="28"/>
          <w:szCs w:val="28"/>
        </w:rPr>
        <w:t>ой</w:t>
      </w:r>
      <w:r w:rsidRPr="0078273E">
        <w:rPr>
          <w:sz w:val="28"/>
          <w:szCs w:val="28"/>
        </w:rPr>
        <w:t xml:space="preserve"> сфер составляет 2,9 %.</w:t>
      </w:r>
    </w:p>
    <w:bookmarkEnd w:id="1"/>
    <w:p w:rsidR="0031269F" w:rsidRPr="0078273E" w:rsidRDefault="0031269F" w:rsidP="0031269F">
      <w:pPr>
        <w:ind w:firstLine="708"/>
        <w:jc w:val="both"/>
        <w:rPr>
          <w:sz w:val="28"/>
          <w:szCs w:val="28"/>
        </w:rPr>
      </w:pPr>
      <w:r w:rsidRPr="0078273E">
        <w:rPr>
          <w:sz w:val="28"/>
          <w:szCs w:val="28"/>
        </w:rPr>
        <w:t xml:space="preserve">Высокие темпы роста инвестиций сопровождаются </w:t>
      </w:r>
      <w:r w:rsidR="0038693B">
        <w:rPr>
          <w:sz w:val="28"/>
          <w:szCs w:val="28"/>
        </w:rPr>
        <w:t xml:space="preserve">также </w:t>
      </w:r>
      <w:r w:rsidRPr="0078273E">
        <w:rPr>
          <w:sz w:val="28"/>
          <w:szCs w:val="28"/>
        </w:rPr>
        <w:t>ростом темпов в строительстве. За отчетный год объем работ по виду деятельности «Строительство» составил 6 779,2 млн. руб. (105,2 % в сопоставимых ценах к 2012 году).</w:t>
      </w:r>
    </w:p>
    <w:p w:rsidR="003676FD" w:rsidRPr="0078273E" w:rsidRDefault="003676FD" w:rsidP="00F05BC3">
      <w:pPr>
        <w:ind w:firstLine="708"/>
        <w:jc w:val="both"/>
        <w:rPr>
          <w:bCs/>
          <w:iCs/>
          <w:sz w:val="28"/>
          <w:szCs w:val="28"/>
        </w:rPr>
      </w:pPr>
    </w:p>
    <w:p w:rsidR="00F05BC3" w:rsidRPr="0078273E" w:rsidRDefault="00F05BC3" w:rsidP="00F05BC3">
      <w:pPr>
        <w:widowControl w:val="0"/>
        <w:autoSpaceDE w:val="0"/>
        <w:autoSpaceDN w:val="0"/>
        <w:adjustRightInd w:val="0"/>
        <w:jc w:val="center"/>
        <w:outlineLvl w:val="1"/>
        <w:rPr>
          <w:b/>
          <w:i/>
          <w:sz w:val="28"/>
          <w:szCs w:val="28"/>
        </w:rPr>
      </w:pPr>
      <w:r w:rsidRPr="0078273E">
        <w:rPr>
          <w:b/>
          <w:i/>
          <w:sz w:val="28"/>
          <w:szCs w:val="28"/>
        </w:rPr>
        <w:t>Показатель «Доля детей в возрасте 1 - 6 лет, состоящих на учете</w:t>
      </w:r>
    </w:p>
    <w:p w:rsidR="00F05BC3" w:rsidRPr="0078273E" w:rsidRDefault="00F05BC3" w:rsidP="00F05BC3">
      <w:pPr>
        <w:widowControl w:val="0"/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  <w:r w:rsidRPr="0078273E">
        <w:rPr>
          <w:b/>
          <w:i/>
          <w:sz w:val="28"/>
          <w:szCs w:val="28"/>
        </w:rPr>
        <w:t>для определения в муниципальные дошкольные образовательные</w:t>
      </w:r>
    </w:p>
    <w:p w:rsidR="002943B6" w:rsidRPr="0078273E" w:rsidRDefault="00F05BC3" w:rsidP="002A2F13">
      <w:pPr>
        <w:widowControl w:val="0"/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  <w:r w:rsidRPr="0078273E">
        <w:rPr>
          <w:b/>
          <w:i/>
          <w:sz w:val="28"/>
          <w:szCs w:val="28"/>
        </w:rPr>
        <w:t>учреждения, в общей численности детей в возрасте 1 - 6 лет»</w:t>
      </w:r>
    </w:p>
    <w:p w:rsidR="002A2F13" w:rsidRPr="0078273E" w:rsidRDefault="002A2F13" w:rsidP="002A2F13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C24D0D" w:rsidRPr="0078273E" w:rsidRDefault="0082479D" w:rsidP="00C24D0D">
      <w:pPr>
        <w:shd w:val="clear" w:color="auto" w:fill="FFFFFF"/>
        <w:ind w:firstLine="709"/>
        <w:jc w:val="both"/>
        <w:rPr>
          <w:sz w:val="28"/>
          <w:szCs w:val="28"/>
        </w:rPr>
      </w:pPr>
      <w:r w:rsidRPr="0078273E">
        <w:rPr>
          <w:sz w:val="28"/>
          <w:szCs w:val="28"/>
        </w:rPr>
        <w:t>Д</w:t>
      </w:r>
      <w:r w:rsidR="00D44725" w:rsidRPr="0078273E">
        <w:rPr>
          <w:sz w:val="28"/>
          <w:szCs w:val="28"/>
        </w:rPr>
        <w:t xml:space="preserve">оля детей в возрасте 1 - 6 лет, состоящих на учете для определения в муниципальные дошкольные образовательные учреждения, в общей численности детей в возрасте 1 - 6 лет </w:t>
      </w:r>
      <w:r w:rsidR="00CC772E" w:rsidRPr="0078273E">
        <w:rPr>
          <w:sz w:val="28"/>
          <w:szCs w:val="28"/>
        </w:rPr>
        <w:t>за 201</w:t>
      </w:r>
      <w:r w:rsidR="00E33EB3" w:rsidRPr="0078273E">
        <w:rPr>
          <w:sz w:val="28"/>
          <w:szCs w:val="28"/>
        </w:rPr>
        <w:t>3</w:t>
      </w:r>
      <w:r w:rsidR="00CC772E" w:rsidRPr="0078273E">
        <w:rPr>
          <w:sz w:val="28"/>
          <w:szCs w:val="28"/>
        </w:rPr>
        <w:t xml:space="preserve"> год </w:t>
      </w:r>
      <w:r w:rsidR="00D44725" w:rsidRPr="0078273E">
        <w:rPr>
          <w:sz w:val="28"/>
          <w:szCs w:val="28"/>
        </w:rPr>
        <w:t xml:space="preserve">составила </w:t>
      </w:r>
      <w:r w:rsidR="00E33EB3" w:rsidRPr="0078273E">
        <w:rPr>
          <w:sz w:val="28"/>
          <w:szCs w:val="28"/>
        </w:rPr>
        <w:t>5,8</w:t>
      </w:r>
      <w:r w:rsidR="00E6119F" w:rsidRPr="0078273E">
        <w:rPr>
          <w:sz w:val="28"/>
          <w:szCs w:val="28"/>
        </w:rPr>
        <w:t xml:space="preserve"> </w:t>
      </w:r>
      <w:r w:rsidR="00E33EB3" w:rsidRPr="0078273E">
        <w:rPr>
          <w:sz w:val="28"/>
          <w:szCs w:val="28"/>
        </w:rPr>
        <w:t>%</w:t>
      </w:r>
      <w:r w:rsidR="00246F2A" w:rsidRPr="0078273E">
        <w:rPr>
          <w:sz w:val="28"/>
          <w:szCs w:val="28"/>
        </w:rPr>
        <w:t xml:space="preserve"> (201</w:t>
      </w:r>
      <w:r w:rsidR="00E33EB3" w:rsidRPr="0078273E">
        <w:rPr>
          <w:sz w:val="28"/>
          <w:szCs w:val="28"/>
        </w:rPr>
        <w:t>2</w:t>
      </w:r>
      <w:r w:rsidR="00246F2A" w:rsidRPr="0078273E">
        <w:rPr>
          <w:sz w:val="28"/>
          <w:szCs w:val="28"/>
        </w:rPr>
        <w:t xml:space="preserve"> год – </w:t>
      </w:r>
      <w:r w:rsidR="00E33EB3" w:rsidRPr="0078273E">
        <w:rPr>
          <w:sz w:val="28"/>
          <w:szCs w:val="28"/>
        </w:rPr>
        <w:t>9,3%</w:t>
      </w:r>
      <w:r w:rsidR="00246F2A" w:rsidRPr="0078273E">
        <w:rPr>
          <w:sz w:val="28"/>
          <w:szCs w:val="28"/>
        </w:rPr>
        <w:t>)</w:t>
      </w:r>
      <w:r w:rsidR="00C24D0D" w:rsidRPr="0078273E">
        <w:rPr>
          <w:sz w:val="28"/>
          <w:szCs w:val="28"/>
        </w:rPr>
        <w:t>.</w:t>
      </w:r>
    </w:p>
    <w:p w:rsidR="008D77AB" w:rsidRPr="0078273E" w:rsidRDefault="008D77AB" w:rsidP="00D44725">
      <w:pPr>
        <w:ind w:firstLine="709"/>
        <w:jc w:val="both"/>
        <w:rPr>
          <w:sz w:val="28"/>
          <w:szCs w:val="28"/>
        </w:rPr>
      </w:pPr>
      <w:r w:rsidRPr="0078273E">
        <w:rPr>
          <w:sz w:val="28"/>
          <w:szCs w:val="28"/>
        </w:rPr>
        <w:t>Уменьшение доли детей, стоящих на учете для определения в дошкольные образовательные учреждения обеспечено за счет открытия групп дошкольного образования в муниципальном бюджетном образовательном учреждении "Излучинская общеобразовательная начальная школа №2", выдачи временных путевок, открытия групп кратковременного пребывания.</w:t>
      </w:r>
    </w:p>
    <w:p w:rsidR="00912605" w:rsidRPr="0078273E" w:rsidRDefault="00912605" w:rsidP="00D44725">
      <w:pPr>
        <w:ind w:firstLine="709"/>
        <w:jc w:val="both"/>
        <w:rPr>
          <w:sz w:val="28"/>
          <w:szCs w:val="28"/>
        </w:rPr>
      </w:pPr>
    </w:p>
    <w:p w:rsidR="002A2F13" w:rsidRPr="0078273E" w:rsidRDefault="002A2F13" w:rsidP="00D44725">
      <w:pPr>
        <w:ind w:firstLine="709"/>
        <w:jc w:val="both"/>
        <w:rPr>
          <w:sz w:val="28"/>
          <w:szCs w:val="28"/>
        </w:rPr>
      </w:pPr>
    </w:p>
    <w:p w:rsidR="008D77AB" w:rsidRPr="0078273E" w:rsidRDefault="008D77AB" w:rsidP="008D77AB">
      <w:pPr>
        <w:ind w:left="708"/>
        <w:jc w:val="center"/>
        <w:rPr>
          <w:b/>
          <w:i/>
          <w:sz w:val="28"/>
          <w:szCs w:val="28"/>
        </w:rPr>
      </w:pPr>
      <w:r w:rsidRPr="0078273E">
        <w:rPr>
          <w:b/>
          <w:i/>
          <w:sz w:val="28"/>
          <w:szCs w:val="28"/>
        </w:rPr>
        <w:lastRenderedPageBreak/>
        <w:t>Показатель «Доля выпускников муниципальных общеобразовательных учреждений, сдавших единый государственный экзамен по русскому языку и математике в общей численности выпускников муниципальных общеобразовательных учреждений, сдавших единый государственный экзамен по данным предметам».</w:t>
      </w:r>
    </w:p>
    <w:p w:rsidR="008D77AB" w:rsidRPr="0078273E" w:rsidRDefault="008D77AB" w:rsidP="008D77AB">
      <w:pPr>
        <w:ind w:left="708"/>
        <w:jc w:val="center"/>
        <w:rPr>
          <w:b/>
          <w:i/>
          <w:sz w:val="28"/>
          <w:szCs w:val="28"/>
        </w:rPr>
      </w:pPr>
    </w:p>
    <w:p w:rsidR="008D77AB" w:rsidRPr="0078273E" w:rsidRDefault="00521D50" w:rsidP="008D77AB">
      <w:pPr>
        <w:ind w:firstLine="709"/>
        <w:jc w:val="both"/>
      </w:pPr>
      <w:r>
        <w:rPr>
          <w:sz w:val="28"/>
          <w:szCs w:val="28"/>
        </w:rPr>
        <w:t>Стопроцентный</w:t>
      </w:r>
      <w:r w:rsidR="008D77AB" w:rsidRPr="0078273E">
        <w:rPr>
          <w:sz w:val="28"/>
          <w:szCs w:val="28"/>
        </w:rPr>
        <w:t xml:space="preserve"> результат отмечается на протяжении отчетного периода 2010-2013 годов</w:t>
      </w:r>
      <w:r w:rsidR="005B1D9D" w:rsidRPr="0078273E">
        <w:rPr>
          <w:sz w:val="28"/>
          <w:szCs w:val="28"/>
        </w:rPr>
        <w:t>. В Нижневартовском районе</w:t>
      </w:r>
      <w:r w:rsidR="008D77AB" w:rsidRPr="0078273E">
        <w:rPr>
          <w:sz w:val="28"/>
          <w:szCs w:val="28"/>
        </w:rPr>
        <w:t xml:space="preserve"> </w:t>
      </w:r>
      <w:r w:rsidR="005B1D9D" w:rsidRPr="0078273E">
        <w:rPr>
          <w:sz w:val="28"/>
          <w:szCs w:val="28"/>
        </w:rPr>
        <w:t>с</w:t>
      </w:r>
      <w:r w:rsidR="008D77AB" w:rsidRPr="0078273E">
        <w:rPr>
          <w:sz w:val="28"/>
          <w:szCs w:val="28"/>
        </w:rPr>
        <w:t xml:space="preserve"> целью повышения доли выпускников муниципальных общеобразовательных учреждений, сдавших единый государственный экзамен по математике и русскому языку в общей численности выпускников муниципального общеобразовательного учреждения, сдавших единый государственный экзамен по двум обязательным для сдачи предметам, разработаны меры, направленные на повышение качества общего образования и успешной сдачи единого государственного экзамена выпускниками района.</w:t>
      </w:r>
    </w:p>
    <w:p w:rsidR="002A2F13" w:rsidRPr="0078273E" w:rsidRDefault="002A2F13" w:rsidP="00D44725">
      <w:pPr>
        <w:ind w:firstLine="709"/>
        <w:jc w:val="both"/>
        <w:rPr>
          <w:sz w:val="28"/>
          <w:szCs w:val="28"/>
        </w:rPr>
      </w:pPr>
    </w:p>
    <w:p w:rsidR="00F669D0" w:rsidRPr="0078273E" w:rsidRDefault="00F05BC3" w:rsidP="00F669D0">
      <w:pPr>
        <w:widowControl w:val="0"/>
        <w:autoSpaceDE w:val="0"/>
        <w:autoSpaceDN w:val="0"/>
        <w:adjustRightInd w:val="0"/>
        <w:jc w:val="center"/>
        <w:outlineLvl w:val="1"/>
        <w:rPr>
          <w:b/>
          <w:i/>
          <w:sz w:val="28"/>
          <w:szCs w:val="28"/>
        </w:rPr>
      </w:pPr>
      <w:r w:rsidRPr="0078273E">
        <w:rPr>
          <w:b/>
          <w:i/>
          <w:sz w:val="28"/>
          <w:szCs w:val="28"/>
        </w:rPr>
        <w:t>Показатель «</w:t>
      </w:r>
      <w:r w:rsidR="00F669D0" w:rsidRPr="0078273E">
        <w:rPr>
          <w:b/>
          <w:i/>
          <w:sz w:val="28"/>
          <w:szCs w:val="28"/>
        </w:rPr>
        <w:t>Доля населения, получившего жилые помещения и улучшившего</w:t>
      </w:r>
      <w:r w:rsidR="00932FD6" w:rsidRPr="0078273E">
        <w:rPr>
          <w:b/>
          <w:i/>
          <w:sz w:val="28"/>
          <w:szCs w:val="28"/>
        </w:rPr>
        <w:t xml:space="preserve"> </w:t>
      </w:r>
      <w:r w:rsidR="00F669D0" w:rsidRPr="0078273E">
        <w:rPr>
          <w:b/>
          <w:i/>
          <w:sz w:val="28"/>
          <w:szCs w:val="28"/>
        </w:rPr>
        <w:t>жилищные условия в отчетном году, в общей численности</w:t>
      </w:r>
    </w:p>
    <w:p w:rsidR="00F05BC3" w:rsidRPr="0078273E" w:rsidRDefault="00F669D0" w:rsidP="00F669D0">
      <w:pPr>
        <w:widowControl w:val="0"/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  <w:r w:rsidRPr="0078273E">
        <w:rPr>
          <w:b/>
          <w:i/>
          <w:sz w:val="28"/>
          <w:szCs w:val="28"/>
        </w:rPr>
        <w:t>населения, состоящего на учете в качестве нуждающегося в жилых помещениях»</w:t>
      </w:r>
    </w:p>
    <w:p w:rsidR="002A2F13" w:rsidRPr="0078273E" w:rsidRDefault="002A2F13" w:rsidP="00F669D0">
      <w:pPr>
        <w:widowControl w:val="0"/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</w:p>
    <w:p w:rsidR="00551100" w:rsidRPr="0078273E" w:rsidRDefault="00551100" w:rsidP="00551100">
      <w:pPr>
        <w:ind w:firstLine="708"/>
        <w:jc w:val="both"/>
        <w:rPr>
          <w:sz w:val="28"/>
          <w:szCs w:val="28"/>
        </w:rPr>
      </w:pPr>
      <w:bookmarkStart w:id="2" w:name="_GoBack"/>
      <w:bookmarkEnd w:id="2"/>
      <w:r w:rsidRPr="0078273E">
        <w:rPr>
          <w:sz w:val="28"/>
          <w:szCs w:val="28"/>
        </w:rPr>
        <w:t>Доля населения, получившего жилые помещения и улучшившего</w:t>
      </w:r>
      <w:r w:rsidR="00A9639F" w:rsidRPr="0078273E">
        <w:rPr>
          <w:sz w:val="28"/>
          <w:szCs w:val="28"/>
        </w:rPr>
        <w:t xml:space="preserve"> </w:t>
      </w:r>
      <w:r w:rsidRPr="0078273E">
        <w:rPr>
          <w:sz w:val="28"/>
          <w:szCs w:val="28"/>
        </w:rPr>
        <w:t>жилищные условия в отчетном году, в общей численности</w:t>
      </w:r>
      <w:r w:rsidR="00A9639F" w:rsidRPr="0078273E">
        <w:rPr>
          <w:sz w:val="28"/>
          <w:szCs w:val="28"/>
        </w:rPr>
        <w:t xml:space="preserve"> </w:t>
      </w:r>
      <w:r w:rsidRPr="0078273E">
        <w:rPr>
          <w:sz w:val="28"/>
          <w:szCs w:val="28"/>
        </w:rPr>
        <w:t>населения, состоящего на учете в качестве нуждающегося</w:t>
      </w:r>
      <w:r w:rsidR="00A9639F" w:rsidRPr="0078273E">
        <w:rPr>
          <w:sz w:val="28"/>
          <w:szCs w:val="28"/>
        </w:rPr>
        <w:t xml:space="preserve"> </w:t>
      </w:r>
      <w:r w:rsidRPr="0078273E">
        <w:rPr>
          <w:sz w:val="28"/>
          <w:szCs w:val="28"/>
        </w:rPr>
        <w:t>в жилых помещениях,</w:t>
      </w:r>
      <w:r w:rsidR="00A9639F" w:rsidRPr="0078273E">
        <w:rPr>
          <w:sz w:val="28"/>
          <w:szCs w:val="28"/>
        </w:rPr>
        <w:t xml:space="preserve"> </w:t>
      </w:r>
      <w:r w:rsidRPr="0078273E">
        <w:rPr>
          <w:sz w:val="28"/>
          <w:szCs w:val="28"/>
        </w:rPr>
        <w:t xml:space="preserve">составила </w:t>
      </w:r>
      <w:r w:rsidR="00A9639F" w:rsidRPr="0078273E">
        <w:rPr>
          <w:sz w:val="28"/>
          <w:szCs w:val="28"/>
        </w:rPr>
        <w:t>42,9</w:t>
      </w:r>
      <w:r w:rsidRPr="0078273E">
        <w:rPr>
          <w:sz w:val="28"/>
          <w:szCs w:val="28"/>
        </w:rPr>
        <w:t xml:space="preserve"> </w:t>
      </w:r>
      <w:r w:rsidR="00A9639F" w:rsidRPr="0078273E">
        <w:rPr>
          <w:sz w:val="28"/>
          <w:szCs w:val="28"/>
        </w:rPr>
        <w:t>%</w:t>
      </w:r>
      <w:r w:rsidR="0031269F" w:rsidRPr="0078273E">
        <w:rPr>
          <w:sz w:val="28"/>
          <w:szCs w:val="28"/>
        </w:rPr>
        <w:t xml:space="preserve"> </w:t>
      </w:r>
      <w:r w:rsidR="00C0514D" w:rsidRPr="0078273E">
        <w:rPr>
          <w:sz w:val="28"/>
          <w:szCs w:val="28"/>
        </w:rPr>
        <w:t>(201</w:t>
      </w:r>
      <w:r w:rsidR="00A9639F" w:rsidRPr="0078273E">
        <w:rPr>
          <w:sz w:val="28"/>
          <w:szCs w:val="28"/>
        </w:rPr>
        <w:t>2</w:t>
      </w:r>
      <w:r w:rsidR="00C0514D" w:rsidRPr="0078273E">
        <w:rPr>
          <w:sz w:val="28"/>
          <w:szCs w:val="28"/>
        </w:rPr>
        <w:t xml:space="preserve"> год -</w:t>
      </w:r>
      <w:r w:rsidR="00A9639F" w:rsidRPr="0078273E">
        <w:rPr>
          <w:sz w:val="28"/>
          <w:szCs w:val="28"/>
        </w:rPr>
        <w:t>33,3 %</w:t>
      </w:r>
      <w:r w:rsidR="00C0514D" w:rsidRPr="0078273E">
        <w:rPr>
          <w:sz w:val="28"/>
          <w:szCs w:val="28"/>
        </w:rPr>
        <w:t>.)</w:t>
      </w:r>
      <w:r w:rsidRPr="0078273E">
        <w:rPr>
          <w:sz w:val="28"/>
          <w:szCs w:val="28"/>
        </w:rPr>
        <w:t>.</w:t>
      </w:r>
    </w:p>
    <w:p w:rsidR="00A9639F" w:rsidRPr="0078273E" w:rsidRDefault="00A9639F" w:rsidP="005511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273E">
        <w:rPr>
          <w:sz w:val="28"/>
          <w:szCs w:val="28"/>
        </w:rPr>
        <w:t>В 2013 году из 3 670 граждан, состоящих на учете, улучшили  свои жилищные условия 1 575 человек, в том числе в рамках реализации программ:</w:t>
      </w:r>
    </w:p>
    <w:p w:rsidR="00A9639F" w:rsidRPr="0078273E" w:rsidRDefault="00A9639F" w:rsidP="00A9639F">
      <w:pPr>
        <w:ind w:firstLine="708"/>
        <w:jc w:val="both"/>
        <w:rPr>
          <w:bCs/>
          <w:sz w:val="28"/>
          <w:szCs w:val="28"/>
        </w:rPr>
      </w:pPr>
      <w:r w:rsidRPr="0078273E">
        <w:rPr>
          <w:bCs/>
          <w:sz w:val="28"/>
          <w:szCs w:val="28"/>
        </w:rPr>
        <w:t>«Ликвидация приспособленных для проживания строений и расселение проживающих в них граждан» - 189 человек;</w:t>
      </w:r>
    </w:p>
    <w:p w:rsidR="00A9639F" w:rsidRPr="0078273E" w:rsidRDefault="00A9639F" w:rsidP="00A9639F">
      <w:pPr>
        <w:ind w:firstLine="708"/>
        <w:jc w:val="both"/>
        <w:rPr>
          <w:bCs/>
          <w:sz w:val="28"/>
          <w:szCs w:val="28"/>
        </w:rPr>
      </w:pPr>
      <w:r w:rsidRPr="0078273E">
        <w:rPr>
          <w:bCs/>
          <w:sz w:val="28"/>
          <w:szCs w:val="28"/>
        </w:rPr>
        <w:t>«Содействие развитию жилищного строительства» - 1 229 человек.</w:t>
      </w:r>
    </w:p>
    <w:p w:rsidR="0031269F" w:rsidRPr="0078273E" w:rsidRDefault="0031269F" w:rsidP="0031269F">
      <w:pPr>
        <w:ind w:firstLine="708"/>
        <w:jc w:val="both"/>
        <w:rPr>
          <w:bCs/>
          <w:sz w:val="28"/>
          <w:szCs w:val="28"/>
        </w:rPr>
      </w:pPr>
      <w:r w:rsidRPr="0078273E">
        <w:rPr>
          <w:bCs/>
          <w:sz w:val="28"/>
          <w:szCs w:val="28"/>
        </w:rPr>
        <w:t xml:space="preserve">Реализация </w:t>
      </w:r>
      <w:r w:rsidR="000645F9">
        <w:rPr>
          <w:bCs/>
          <w:sz w:val="28"/>
          <w:szCs w:val="28"/>
        </w:rPr>
        <w:t xml:space="preserve">мероприятий </w:t>
      </w:r>
      <w:r w:rsidRPr="0078273E">
        <w:rPr>
          <w:bCs/>
          <w:sz w:val="28"/>
          <w:szCs w:val="28"/>
        </w:rPr>
        <w:t>различных целевых программ (</w:t>
      </w:r>
      <w:r w:rsidR="000645F9">
        <w:rPr>
          <w:bCs/>
          <w:sz w:val="28"/>
          <w:szCs w:val="28"/>
        </w:rPr>
        <w:t xml:space="preserve">по предоставлению субсидий </w:t>
      </w:r>
      <w:r w:rsidRPr="0078273E">
        <w:rPr>
          <w:bCs/>
          <w:sz w:val="28"/>
          <w:szCs w:val="28"/>
        </w:rPr>
        <w:t>ветеран</w:t>
      </w:r>
      <w:r w:rsidR="000645F9">
        <w:rPr>
          <w:bCs/>
          <w:sz w:val="28"/>
          <w:szCs w:val="28"/>
        </w:rPr>
        <w:t>ам</w:t>
      </w:r>
      <w:r w:rsidRPr="0078273E">
        <w:rPr>
          <w:bCs/>
          <w:sz w:val="28"/>
          <w:szCs w:val="28"/>
        </w:rPr>
        <w:t xml:space="preserve"> боевых действий, инвалид</w:t>
      </w:r>
      <w:r w:rsidR="000645F9">
        <w:rPr>
          <w:bCs/>
          <w:sz w:val="28"/>
          <w:szCs w:val="28"/>
        </w:rPr>
        <w:t>ам</w:t>
      </w:r>
      <w:r w:rsidRPr="0078273E">
        <w:rPr>
          <w:bCs/>
          <w:sz w:val="28"/>
          <w:szCs w:val="28"/>
        </w:rPr>
        <w:t>, молоды</w:t>
      </w:r>
      <w:r w:rsidR="000645F9">
        <w:rPr>
          <w:bCs/>
          <w:sz w:val="28"/>
          <w:szCs w:val="28"/>
        </w:rPr>
        <w:t>м</w:t>
      </w:r>
      <w:r w:rsidRPr="0078273E">
        <w:rPr>
          <w:bCs/>
          <w:sz w:val="28"/>
          <w:szCs w:val="28"/>
        </w:rPr>
        <w:t xml:space="preserve"> семь</w:t>
      </w:r>
      <w:r w:rsidR="000645F9">
        <w:rPr>
          <w:bCs/>
          <w:sz w:val="28"/>
          <w:szCs w:val="28"/>
        </w:rPr>
        <w:t>ям</w:t>
      </w:r>
      <w:r w:rsidRPr="0078273E">
        <w:rPr>
          <w:bCs/>
          <w:sz w:val="28"/>
          <w:szCs w:val="28"/>
        </w:rPr>
        <w:t>, дет</w:t>
      </w:r>
      <w:r w:rsidR="000645F9">
        <w:rPr>
          <w:bCs/>
          <w:sz w:val="28"/>
          <w:szCs w:val="28"/>
        </w:rPr>
        <w:t>ям</w:t>
      </w:r>
      <w:r w:rsidRPr="0078273E">
        <w:rPr>
          <w:bCs/>
          <w:sz w:val="28"/>
          <w:szCs w:val="28"/>
        </w:rPr>
        <w:t xml:space="preserve"> сирот</w:t>
      </w:r>
      <w:r w:rsidR="000645F9">
        <w:rPr>
          <w:bCs/>
          <w:sz w:val="28"/>
          <w:szCs w:val="28"/>
        </w:rPr>
        <w:t>ам</w:t>
      </w:r>
      <w:r w:rsidRPr="0078273E">
        <w:rPr>
          <w:bCs/>
          <w:sz w:val="28"/>
          <w:szCs w:val="28"/>
        </w:rPr>
        <w:t>, ветеран</w:t>
      </w:r>
      <w:r w:rsidR="000645F9">
        <w:rPr>
          <w:bCs/>
          <w:sz w:val="28"/>
          <w:szCs w:val="28"/>
        </w:rPr>
        <w:t>ам</w:t>
      </w:r>
      <w:r w:rsidRPr="0078273E">
        <w:rPr>
          <w:bCs/>
          <w:sz w:val="28"/>
          <w:szCs w:val="28"/>
        </w:rPr>
        <w:t xml:space="preserve"> Великой Отечественной войны, переселенц</w:t>
      </w:r>
      <w:r w:rsidR="000645F9">
        <w:rPr>
          <w:bCs/>
          <w:sz w:val="28"/>
          <w:szCs w:val="28"/>
        </w:rPr>
        <w:t>ам</w:t>
      </w:r>
      <w:r w:rsidRPr="0078273E">
        <w:rPr>
          <w:bCs/>
          <w:sz w:val="28"/>
          <w:szCs w:val="28"/>
        </w:rPr>
        <w:t xml:space="preserve"> за пределы автономного округа, коренны</w:t>
      </w:r>
      <w:r w:rsidR="000645F9">
        <w:rPr>
          <w:bCs/>
          <w:sz w:val="28"/>
          <w:szCs w:val="28"/>
        </w:rPr>
        <w:t>м</w:t>
      </w:r>
      <w:r w:rsidRPr="0078273E">
        <w:rPr>
          <w:bCs/>
          <w:sz w:val="28"/>
          <w:szCs w:val="28"/>
        </w:rPr>
        <w:t xml:space="preserve"> малочисленны</w:t>
      </w:r>
      <w:r w:rsidR="000645F9">
        <w:rPr>
          <w:bCs/>
          <w:sz w:val="28"/>
          <w:szCs w:val="28"/>
        </w:rPr>
        <w:t>м</w:t>
      </w:r>
      <w:r w:rsidRPr="0078273E">
        <w:rPr>
          <w:bCs/>
          <w:sz w:val="28"/>
          <w:szCs w:val="28"/>
        </w:rPr>
        <w:t xml:space="preserve"> народ</w:t>
      </w:r>
      <w:r w:rsidR="000645F9">
        <w:rPr>
          <w:bCs/>
          <w:sz w:val="28"/>
          <w:szCs w:val="28"/>
        </w:rPr>
        <w:t>ам</w:t>
      </w:r>
      <w:r w:rsidRPr="0078273E">
        <w:rPr>
          <w:bCs/>
          <w:sz w:val="28"/>
          <w:szCs w:val="28"/>
        </w:rPr>
        <w:t xml:space="preserve"> Севера, ипотечное жилищное кредитование) позволила 157 гражданам улучшить свои жилищные условия.</w:t>
      </w:r>
    </w:p>
    <w:p w:rsidR="00551100" w:rsidRPr="0078273E" w:rsidRDefault="00551100" w:rsidP="0097032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A749D" w:rsidRPr="0078273E" w:rsidRDefault="00BA749D" w:rsidP="0097032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A749D" w:rsidRPr="0078273E" w:rsidRDefault="00BA749D" w:rsidP="00BA749D">
      <w:pPr>
        <w:widowControl w:val="0"/>
        <w:autoSpaceDE w:val="0"/>
        <w:autoSpaceDN w:val="0"/>
        <w:adjustRightInd w:val="0"/>
        <w:jc w:val="center"/>
        <w:outlineLvl w:val="1"/>
        <w:rPr>
          <w:b/>
          <w:i/>
          <w:sz w:val="28"/>
          <w:szCs w:val="28"/>
        </w:rPr>
      </w:pPr>
      <w:r w:rsidRPr="0078273E">
        <w:rPr>
          <w:b/>
          <w:i/>
          <w:sz w:val="28"/>
          <w:szCs w:val="28"/>
        </w:rPr>
        <w:t>Показатель «Доля многоквартирных домов, расположенных на земельных участках, в отношении которых осуществлен государственный кадастровый учет»</w:t>
      </w:r>
    </w:p>
    <w:p w:rsidR="001D2D13" w:rsidRPr="0078273E" w:rsidRDefault="001D2D13" w:rsidP="001D2D13">
      <w:pPr>
        <w:widowControl w:val="0"/>
        <w:autoSpaceDE w:val="0"/>
        <w:autoSpaceDN w:val="0"/>
        <w:adjustRightInd w:val="0"/>
        <w:ind w:left="-360" w:firstLine="720"/>
        <w:outlineLvl w:val="1"/>
        <w:rPr>
          <w:rFonts w:eastAsiaTheme="minorEastAsia"/>
          <w:sz w:val="28"/>
          <w:szCs w:val="28"/>
        </w:rPr>
      </w:pPr>
      <w:r w:rsidRPr="0078273E">
        <w:rPr>
          <w:sz w:val="28"/>
          <w:szCs w:val="28"/>
        </w:rPr>
        <w:t xml:space="preserve">Доля многоквартирных домов, расположенных на земельных участках, в отношении которых осуществлен государственный кадастровый учет, составила 100% ( </w:t>
      </w:r>
      <w:r w:rsidRPr="0078273E">
        <w:rPr>
          <w:rFonts w:eastAsiaTheme="minorEastAsia"/>
          <w:sz w:val="28"/>
          <w:szCs w:val="28"/>
        </w:rPr>
        <w:t xml:space="preserve">2012 год – 97,4 %). </w:t>
      </w:r>
    </w:p>
    <w:p w:rsidR="00BA749D" w:rsidRPr="0078273E" w:rsidRDefault="001D2D13" w:rsidP="001D2D13">
      <w:pPr>
        <w:widowControl w:val="0"/>
        <w:autoSpaceDE w:val="0"/>
        <w:autoSpaceDN w:val="0"/>
        <w:adjustRightInd w:val="0"/>
        <w:ind w:firstLine="360"/>
        <w:jc w:val="both"/>
        <w:outlineLvl w:val="1"/>
        <w:rPr>
          <w:b/>
          <w:i/>
          <w:sz w:val="28"/>
          <w:szCs w:val="28"/>
        </w:rPr>
      </w:pPr>
      <w:r w:rsidRPr="0078273E">
        <w:rPr>
          <w:sz w:val="28"/>
          <w:szCs w:val="28"/>
        </w:rPr>
        <w:t xml:space="preserve">Положительная динамика показателя обусловлена выделением средств из </w:t>
      </w:r>
      <w:r w:rsidRPr="0078273E">
        <w:rPr>
          <w:sz w:val="28"/>
          <w:szCs w:val="28"/>
        </w:rPr>
        <w:lastRenderedPageBreak/>
        <w:t>бюджета района на проведение кадастровых работ, что повлияло на увеличение числа многоквартирных домов, в отношении которых осуществлен кадастровый учет.</w:t>
      </w:r>
    </w:p>
    <w:p w:rsidR="001B7F18" w:rsidRPr="0078273E" w:rsidRDefault="001B7F18" w:rsidP="00BA749D">
      <w:pPr>
        <w:widowControl w:val="0"/>
        <w:autoSpaceDE w:val="0"/>
        <w:autoSpaceDN w:val="0"/>
        <w:adjustRightInd w:val="0"/>
        <w:jc w:val="center"/>
        <w:outlineLvl w:val="1"/>
        <w:rPr>
          <w:b/>
          <w:i/>
          <w:sz w:val="28"/>
          <w:szCs w:val="28"/>
        </w:rPr>
      </w:pPr>
    </w:p>
    <w:p w:rsidR="00672681" w:rsidRPr="0078273E" w:rsidRDefault="00BA749D" w:rsidP="00BA749D">
      <w:pPr>
        <w:widowControl w:val="0"/>
        <w:autoSpaceDE w:val="0"/>
        <w:autoSpaceDN w:val="0"/>
        <w:adjustRightInd w:val="0"/>
        <w:jc w:val="center"/>
        <w:outlineLvl w:val="1"/>
        <w:rPr>
          <w:b/>
          <w:i/>
          <w:sz w:val="28"/>
          <w:szCs w:val="28"/>
        </w:rPr>
      </w:pPr>
      <w:r w:rsidRPr="0078273E">
        <w:rPr>
          <w:b/>
          <w:i/>
          <w:sz w:val="28"/>
          <w:szCs w:val="28"/>
        </w:rPr>
        <w:t>Показатель «Площадь земельных участков, предоставленных для строительства, в отношении которых с даты принятия решения о предоставлении земельного участка или подписания протокола о результатах торгов (конкурсов, аукционов) не было получено разрешение на ввод в эксплуатацию»</w:t>
      </w:r>
      <w:r w:rsidR="00672681" w:rsidRPr="0078273E">
        <w:rPr>
          <w:b/>
          <w:i/>
          <w:sz w:val="28"/>
          <w:szCs w:val="28"/>
        </w:rPr>
        <w:t xml:space="preserve"> </w:t>
      </w:r>
    </w:p>
    <w:p w:rsidR="00672681" w:rsidRPr="0078273E" w:rsidRDefault="00672681" w:rsidP="00672681">
      <w:pPr>
        <w:ind w:firstLine="720"/>
        <w:jc w:val="both"/>
        <w:rPr>
          <w:sz w:val="28"/>
          <w:szCs w:val="28"/>
        </w:rPr>
      </w:pPr>
      <w:r w:rsidRPr="0078273E">
        <w:rPr>
          <w:sz w:val="28"/>
          <w:szCs w:val="28"/>
        </w:rPr>
        <w:t>Наилучшее значение показателя обеспечено за счет следующих мероприятий:</w:t>
      </w:r>
    </w:p>
    <w:p w:rsidR="00672681" w:rsidRPr="0078273E" w:rsidRDefault="00672681" w:rsidP="00672681">
      <w:pPr>
        <w:ind w:firstLine="720"/>
        <w:jc w:val="both"/>
        <w:rPr>
          <w:sz w:val="28"/>
          <w:szCs w:val="28"/>
        </w:rPr>
      </w:pPr>
      <w:r w:rsidRPr="0078273E">
        <w:rPr>
          <w:sz w:val="28"/>
          <w:szCs w:val="28"/>
        </w:rPr>
        <w:t>актуализированы топографические съемки населенных пунктов района с 2008 по 2013 год</w:t>
      </w:r>
      <w:r w:rsidR="004C4F40" w:rsidRPr="0078273E">
        <w:rPr>
          <w:sz w:val="28"/>
          <w:szCs w:val="28"/>
        </w:rPr>
        <w:t>;</w:t>
      </w:r>
    </w:p>
    <w:p w:rsidR="00672681" w:rsidRPr="0078273E" w:rsidRDefault="00672681" w:rsidP="00672681">
      <w:pPr>
        <w:ind w:firstLine="720"/>
        <w:jc w:val="both"/>
        <w:rPr>
          <w:sz w:val="28"/>
          <w:szCs w:val="28"/>
        </w:rPr>
      </w:pPr>
      <w:r w:rsidRPr="0078273E">
        <w:rPr>
          <w:sz w:val="28"/>
          <w:szCs w:val="28"/>
        </w:rPr>
        <w:t>утверждена документация по планировке территории населенных пунктов района в период с 2007 по 2012 год</w:t>
      </w:r>
      <w:r w:rsidR="004C4F40" w:rsidRPr="0078273E">
        <w:rPr>
          <w:sz w:val="28"/>
          <w:szCs w:val="28"/>
        </w:rPr>
        <w:t>;</w:t>
      </w:r>
    </w:p>
    <w:p w:rsidR="004C4F40" w:rsidRPr="0078273E" w:rsidRDefault="004C4F40" w:rsidP="00672681">
      <w:pPr>
        <w:ind w:firstLine="720"/>
        <w:jc w:val="both"/>
        <w:rPr>
          <w:sz w:val="28"/>
          <w:szCs w:val="28"/>
        </w:rPr>
      </w:pPr>
      <w:r w:rsidRPr="0078273E">
        <w:rPr>
          <w:sz w:val="28"/>
          <w:szCs w:val="28"/>
        </w:rPr>
        <w:t>на основании административных регламентов предоставления муниципальных услуг, принятых в 2011 году, осуществляется п</w:t>
      </w:r>
      <w:r w:rsidR="00672681" w:rsidRPr="0078273E">
        <w:rPr>
          <w:sz w:val="28"/>
          <w:szCs w:val="28"/>
        </w:rPr>
        <w:t>одготовка градостроительных планов, оформление разрешений на строительство и ввод объектов в эксплуатацию</w:t>
      </w:r>
      <w:r w:rsidRPr="0078273E">
        <w:rPr>
          <w:sz w:val="28"/>
          <w:szCs w:val="28"/>
        </w:rPr>
        <w:t>.</w:t>
      </w:r>
    </w:p>
    <w:p w:rsidR="00672681" w:rsidRPr="0078273E" w:rsidRDefault="00672681" w:rsidP="00672681">
      <w:pPr>
        <w:ind w:firstLine="720"/>
        <w:jc w:val="both"/>
        <w:rPr>
          <w:sz w:val="28"/>
          <w:szCs w:val="28"/>
        </w:rPr>
      </w:pPr>
      <w:r w:rsidRPr="0078273E">
        <w:rPr>
          <w:sz w:val="28"/>
          <w:szCs w:val="28"/>
        </w:rPr>
        <w:t xml:space="preserve"> Это позволяет своевременно</w:t>
      </w:r>
      <w:r w:rsidR="004C4F40" w:rsidRPr="0078273E">
        <w:rPr>
          <w:sz w:val="28"/>
          <w:szCs w:val="28"/>
        </w:rPr>
        <w:t xml:space="preserve"> ин</w:t>
      </w:r>
      <w:r w:rsidRPr="0078273E">
        <w:rPr>
          <w:sz w:val="28"/>
          <w:szCs w:val="28"/>
        </w:rPr>
        <w:t xml:space="preserve">формировать и  последовательно осваивать земельные участки для жилищного строительства и иных объектов капитального строительства. </w:t>
      </w:r>
    </w:p>
    <w:p w:rsidR="00BA749D" w:rsidRPr="0078273E" w:rsidRDefault="00BA749D" w:rsidP="00BA749D">
      <w:pPr>
        <w:widowControl w:val="0"/>
        <w:autoSpaceDE w:val="0"/>
        <w:autoSpaceDN w:val="0"/>
        <w:adjustRightInd w:val="0"/>
        <w:jc w:val="center"/>
        <w:outlineLvl w:val="1"/>
        <w:rPr>
          <w:b/>
          <w:i/>
          <w:sz w:val="28"/>
          <w:szCs w:val="28"/>
        </w:rPr>
      </w:pPr>
    </w:p>
    <w:p w:rsidR="00BA749D" w:rsidRPr="0078273E" w:rsidRDefault="00BA749D" w:rsidP="0097032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A749D" w:rsidRPr="0078273E" w:rsidRDefault="00BA749D" w:rsidP="00BA749D">
      <w:pPr>
        <w:widowControl w:val="0"/>
        <w:autoSpaceDE w:val="0"/>
        <w:autoSpaceDN w:val="0"/>
        <w:adjustRightInd w:val="0"/>
        <w:jc w:val="center"/>
        <w:outlineLvl w:val="1"/>
        <w:rPr>
          <w:b/>
          <w:i/>
          <w:sz w:val="28"/>
          <w:szCs w:val="28"/>
        </w:rPr>
      </w:pPr>
      <w:r w:rsidRPr="0078273E">
        <w:rPr>
          <w:b/>
          <w:i/>
          <w:sz w:val="28"/>
          <w:szCs w:val="28"/>
        </w:rPr>
        <w:t>Показатель «Удельная величина потребления энергетических ресурсов</w:t>
      </w:r>
    </w:p>
    <w:p w:rsidR="00BA749D" w:rsidRPr="0078273E" w:rsidRDefault="001E4765" w:rsidP="00BA749D">
      <w:pPr>
        <w:widowControl w:val="0"/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  <w:r w:rsidRPr="0078273E">
        <w:rPr>
          <w:b/>
          <w:i/>
          <w:sz w:val="28"/>
          <w:szCs w:val="28"/>
        </w:rPr>
        <w:t>в многоквартирных домах</w:t>
      </w:r>
      <w:r w:rsidR="00BA749D" w:rsidRPr="0078273E">
        <w:rPr>
          <w:b/>
          <w:i/>
          <w:sz w:val="28"/>
          <w:szCs w:val="28"/>
        </w:rPr>
        <w:t>»</w:t>
      </w:r>
    </w:p>
    <w:p w:rsidR="003A640A" w:rsidRPr="0078273E" w:rsidRDefault="003A640A" w:rsidP="003A640A">
      <w:pPr>
        <w:ind w:firstLine="709"/>
        <w:jc w:val="both"/>
        <w:rPr>
          <w:sz w:val="28"/>
          <w:szCs w:val="28"/>
        </w:rPr>
      </w:pPr>
      <w:r w:rsidRPr="0078273E">
        <w:rPr>
          <w:sz w:val="28"/>
          <w:szCs w:val="28"/>
        </w:rPr>
        <w:t>В 2013 году удельная величина потребления энергетических ресурсов в многоквартирных домах на территории Нижневартовского района составила:</w:t>
      </w:r>
    </w:p>
    <w:p w:rsidR="003A640A" w:rsidRPr="0078273E" w:rsidRDefault="003A640A" w:rsidP="003A640A">
      <w:pPr>
        <w:ind w:firstLine="709"/>
        <w:jc w:val="both"/>
        <w:rPr>
          <w:sz w:val="28"/>
          <w:szCs w:val="28"/>
        </w:rPr>
      </w:pPr>
      <w:r w:rsidRPr="0078273E">
        <w:rPr>
          <w:sz w:val="28"/>
          <w:szCs w:val="28"/>
        </w:rPr>
        <w:t>электрическая энергия – 750,00  киловатт в час на 1 проживающего (2012 год – 821,54 киловатт в час на 1 проживающего);</w:t>
      </w:r>
    </w:p>
    <w:p w:rsidR="003A640A" w:rsidRPr="0078273E" w:rsidRDefault="003A640A" w:rsidP="003A640A">
      <w:pPr>
        <w:ind w:firstLine="709"/>
        <w:jc w:val="both"/>
        <w:rPr>
          <w:sz w:val="28"/>
          <w:szCs w:val="28"/>
        </w:rPr>
      </w:pPr>
      <w:r w:rsidRPr="0078273E">
        <w:rPr>
          <w:sz w:val="28"/>
          <w:szCs w:val="28"/>
        </w:rPr>
        <w:t>тепловая энергия – 0,11 Гкал на 1кв. метр общей площади (2012 год - 0,12 Гкал. на 1кв. метр общей площади);</w:t>
      </w:r>
    </w:p>
    <w:p w:rsidR="003A640A" w:rsidRPr="0078273E" w:rsidRDefault="003A640A" w:rsidP="003A640A">
      <w:pPr>
        <w:ind w:firstLine="709"/>
        <w:jc w:val="both"/>
        <w:rPr>
          <w:sz w:val="28"/>
          <w:szCs w:val="28"/>
        </w:rPr>
      </w:pPr>
      <w:r w:rsidRPr="0078273E">
        <w:rPr>
          <w:sz w:val="28"/>
          <w:szCs w:val="28"/>
        </w:rPr>
        <w:t>горячая вода – 6,30 кубических метров на 1 проживающего (2012 год – 6,50 кубических метров на 1 проживающего);</w:t>
      </w:r>
    </w:p>
    <w:p w:rsidR="003A640A" w:rsidRPr="0078273E" w:rsidRDefault="003A640A" w:rsidP="003A640A">
      <w:pPr>
        <w:ind w:firstLine="709"/>
        <w:jc w:val="both"/>
        <w:rPr>
          <w:sz w:val="28"/>
          <w:szCs w:val="28"/>
        </w:rPr>
      </w:pPr>
      <w:r w:rsidRPr="0078273E">
        <w:rPr>
          <w:sz w:val="28"/>
          <w:szCs w:val="28"/>
        </w:rPr>
        <w:t xml:space="preserve">холодная вода – 13,00 кубических метров на 1 проживающего (2012 год – 13,83 кубических метров на 1 проживающего). </w:t>
      </w:r>
    </w:p>
    <w:p w:rsidR="003A640A" w:rsidRPr="0078273E" w:rsidRDefault="003A640A" w:rsidP="003A640A">
      <w:pPr>
        <w:ind w:firstLine="709"/>
        <w:jc w:val="both"/>
      </w:pPr>
      <w:r w:rsidRPr="0078273E">
        <w:rPr>
          <w:sz w:val="28"/>
          <w:szCs w:val="28"/>
        </w:rPr>
        <w:t>Снижение  показателя удельной  величины потребления энергетических ресурсов  в многоквартирных домах связано с установкой общедомовых и ндивидуальных приборов учета потребления энергетических ресурсов и воды, проведением мероприятий по энергосбережению.</w:t>
      </w:r>
    </w:p>
    <w:p w:rsidR="00BA749D" w:rsidRPr="0078273E" w:rsidRDefault="00BA749D" w:rsidP="0097032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04571" w:rsidRPr="0078273E" w:rsidRDefault="00504571" w:rsidP="00504571">
      <w:pPr>
        <w:widowControl w:val="0"/>
        <w:autoSpaceDE w:val="0"/>
        <w:autoSpaceDN w:val="0"/>
        <w:adjustRightInd w:val="0"/>
        <w:jc w:val="center"/>
        <w:outlineLvl w:val="1"/>
        <w:rPr>
          <w:b/>
          <w:i/>
          <w:sz w:val="28"/>
          <w:szCs w:val="28"/>
        </w:rPr>
      </w:pPr>
      <w:r w:rsidRPr="0078273E">
        <w:rPr>
          <w:b/>
          <w:i/>
          <w:sz w:val="28"/>
          <w:szCs w:val="28"/>
        </w:rPr>
        <w:t>Показатель «Удельная величина потребления энергетических ресурсов</w:t>
      </w:r>
    </w:p>
    <w:p w:rsidR="0097032F" w:rsidRPr="0078273E" w:rsidRDefault="00504571" w:rsidP="00504571">
      <w:pPr>
        <w:widowControl w:val="0"/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  <w:r w:rsidRPr="0078273E">
        <w:rPr>
          <w:b/>
          <w:i/>
          <w:sz w:val="28"/>
          <w:szCs w:val="28"/>
        </w:rPr>
        <w:t>муниципальными бюджетными учреждениями»</w:t>
      </w:r>
    </w:p>
    <w:p w:rsidR="001E4765" w:rsidRPr="0078273E" w:rsidRDefault="001E4765" w:rsidP="001E4765">
      <w:pPr>
        <w:ind w:firstLine="709"/>
        <w:jc w:val="both"/>
        <w:rPr>
          <w:sz w:val="28"/>
          <w:szCs w:val="28"/>
        </w:rPr>
      </w:pPr>
      <w:r w:rsidRPr="0078273E">
        <w:rPr>
          <w:sz w:val="28"/>
          <w:szCs w:val="28"/>
        </w:rPr>
        <w:lastRenderedPageBreak/>
        <w:t>В 2013 году удельная величина потребления энергетических ресурсов муниципальными бюджетными учреждениями Нижневартовского района составила:</w:t>
      </w:r>
    </w:p>
    <w:p w:rsidR="001E4765" w:rsidRPr="0078273E" w:rsidRDefault="001E4765" w:rsidP="001E4765">
      <w:pPr>
        <w:ind w:firstLine="709"/>
        <w:jc w:val="both"/>
        <w:rPr>
          <w:sz w:val="28"/>
          <w:szCs w:val="28"/>
        </w:rPr>
      </w:pPr>
      <w:r w:rsidRPr="0078273E">
        <w:rPr>
          <w:sz w:val="28"/>
          <w:szCs w:val="28"/>
        </w:rPr>
        <w:t>электрическая энергия – 87,4 киловатт в час на 1 проживающего (2012 год - 95,33 киловатт в час на 1 проживающего);</w:t>
      </w:r>
    </w:p>
    <w:p w:rsidR="001E4765" w:rsidRPr="0078273E" w:rsidRDefault="001E4765" w:rsidP="001E4765">
      <w:pPr>
        <w:ind w:firstLine="709"/>
        <w:jc w:val="both"/>
        <w:rPr>
          <w:sz w:val="28"/>
          <w:szCs w:val="28"/>
        </w:rPr>
      </w:pPr>
      <w:r w:rsidRPr="0078273E">
        <w:rPr>
          <w:sz w:val="28"/>
          <w:szCs w:val="28"/>
        </w:rPr>
        <w:t>тепловая энергия – 0,14 Гкал на 1кв. метр общей площади (2012 год - 0,18 Гкал. на 1кв. метр общей площади);</w:t>
      </w:r>
    </w:p>
    <w:p w:rsidR="001E4765" w:rsidRPr="0078273E" w:rsidRDefault="001E4765" w:rsidP="001E4765">
      <w:pPr>
        <w:ind w:firstLine="709"/>
        <w:jc w:val="both"/>
        <w:rPr>
          <w:sz w:val="28"/>
          <w:szCs w:val="28"/>
        </w:rPr>
      </w:pPr>
      <w:r w:rsidRPr="0078273E">
        <w:rPr>
          <w:sz w:val="28"/>
          <w:szCs w:val="28"/>
        </w:rPr>
        <w:t>горячая вода - 0,03 кубических метров на 1 проживающего (2012 год - 0,03 кубических метров на 1 проживающего);</w:t>
      </w:r>
    </w:p>
    <w:p w:rsidR="001E4765" w:rsidRPr="0078273E" w:rsidRDefault="001E4765" w:rsidP="001E4765">
      <w:pPr>
        <w:ind w:firstLine="709"/>
        <w:jc w:val="both"/>
        <w:rPr>
          <w:sz w:val="28"/>
          <w:szCs w:val="28"/>
        </w:rPr>
      </w:pPr>
      <w:r w:rsidRPr="0078273E">
        <w:rPr>
          <w:sz w:val="28"/>
          <w:szCs w:val="28"/>
        </w:rPr>
        <w:t xml:space="preserve">холодная вода – 1,43 кубических метров на 1 проживающего (2012 год - 1,75 кубических метров на 1 проживающего). </w:t>
      </w:r>
    </w:p>
    <w:p w:rsidR="001E4765" w:rsidRPr="0078273E" w:rsidRDefault="001E4765" w:rsidP="001E4765">
      <w:pPr>
        <w:ind w:firstLine="709"/>
        <w:jc w:val="both"/>
        <w:rPr>
          <w:sz w:val="28"/>
          <w:szCs w:val="28"/>
        </w:rPr>
      </w:pPr>
      <w:r w:rsidRPr="0078273E">
        <w:rPr>
          <w:sz w:val="28"/>
          <w:szCs w:val="28"/>
        </w:rPr>
        <w:t>Снижение  показателя удельной  величины потребления энергетических ресурсов  бюджетными учреждениями связано:</w:t>
      </w:r>
    </w:p>
    <w:p w:rsidR="001E4765" w:rsidRPr="0078273E" w:rsidRDefault="001E4765" w:rsidP="001E4765">
      <w:pPr>
        <w:ind w:firstLine="709"/>
        <w:jc w:val="both"/>
        <w:rPr>
          <w:sz w:val="28"/>
          <w:szCs w:val="28"/>
        </w:rPr>
      </w:pPr>
      <w:r w:rsidRPr="0078273E">
        <w:rPr>
          <w:sz w:val="28"/>
          <w:szCs w:val="28"/>
        </w:rPr>
        <w:t>по электроэнергии -  с проведением мероприятий по сбережению электроэнергии, контролем за потреблением электроэнергии, недопущением роста объемов потребления;</w:t>
      </w:r>
    </w:p>
    <w:p w:rsidR="001E4765" w:rsidRPr="0078273E" w:rsidRDefault="001E4765" w:rsidP="001E4765">
      <w:pPr>
        <w:ind w:firstLine="709"/>
        <w:jc w:val="both"/>
        <w:rPr>
          <w:sz w:val="28"/>
          <w:szCs w:val="28"/>
        </w:rPr>
      </w:pPr>
      <w:r w:rsidRPr="0078273E">
        <w:rPr>
          <w:sz w:val="28"/>
          <w:szCs w:val="28"/>
        </w:rPr>
        <w:t>по тепло</w:t>
      </w:r>
      <w:r w:rsidR="00EE6722" w:rsidRPr="0078273E">
        <w:rPr>
          <w:sz w:val="28"/>
          <w:szCs w:val="28"/>
        </w:rPr>
        <w:t xml:space="preserve">вой </w:t>
      </w:r>
      <w:r w:rsidRPr="0078273E">
        <w:rPr>
          <w:sz w:val="28"/>
          <w:szCs w:val="28"/>
        </w:rPr>
        <w:t>энергии - с установкой узлов учета тепла, проведение</w:t>
      </w:r>
      <w:r w:rsidR="00EE6722" w:rsidRPr="0078273E">
        <w:rPr>
          <w:sz w:val="28"/>
          <w:szCs w:val="28"/>
        </w:rPr>
        <w:t>м</w:t>
      </w:r>
      <w:r w:rsidRPr="0078273E">
        <w:rPr>
          <w:sz w:val="28"/>
          <w:szCs w:val="28"/>
        </w:rPr>
        <w:t xml:space="preserve"> мероприятий по энергосбережению;</w:t>
      </w:r>
    </w:p>
    <w:p w:rsidR="001E4765" w:rsidRPr="0078273E" w:rsidRDefault="001E4765" w:rsidP="001E4765">
      <w:pPr>
        <w:ind w:firstLine="709"/>
        <w:jc w:val="both"/>
        <w:rPr>
          <w:sz w:val="28"/>
          <w:szCs w:val="28"/>
        </w:rPr>
      </w:pPr>
      <w:r w:rsidRPr="0078273E">
        <w:rPr>
          <w:sz w:val="28"/>
          <w:szCs w:val="28"/>
        </w:rPr>
        <w:t>по горячей воде –</w:t>
      </w:r>
      <w:r w:rsidR="00EE6722" w:rsidRPr="0078273E">
        <w:rPr>
          <w:sz w:val="28"/>
          <w:szCs w:val="28"/>
        </w:rPr>
        <w:t xml:space="preserve"> </w:t>
      </w:r>
      <w:r w:rsidRPr="0078273E">
        <w:rPr>
          <w:sz w:val="28"/>
          <w:szCs w:val="28"/>
        </w:rPr>
        <w:t>с контролем над объемом потребления, недопущение</w:t>
      </w:r>
      <w:r w:rsidR="00EE6722" w:rsidRPr="0078273E">
        <w:rPr>
          <w:sz w:val="28"/>
          <w:szCs w:val="28"/>
        </w:rPr>
        <w:t>м</w:t>
      </w:r>
      <w:r w:rsidRPr="0078273E">
        <w:rPr>
          <w:sz w:val="28"/>
          <w:szCs w:val="28"/>
        </w:rPr>
        <w:t xml:space="preserve"> роста потребления горячей воды, проведение</w:t>
      </w:r>
      <w:r w:rsidR="00EE6722" w:rsidRPr="0078273E">
        <w:rPr>
          <w:sz w:val="28"/>
          <w:szCs w:val="28"/>
        </w:rPr>
        <w:t>м</w:t>
      </w:r>
      <w:r w:rsidRPr="0078273E">
        <w:rPr>
          <w:sz w:val="28"/>
          <w:szCs w:val="28"/>
        </w:rPr>
        <w:t xml:space="preserve"> мероприятий по </w:t>
      </w:r>
      <w:r w:rsidR="00931D84" w:rsidRPr="0078273E">
        <w:rPr>
          <w:sz w:val="28"/>
          <w:szCs w:val="28"/>
        </w:rPr>
        <w:t>энерго</w:t>
      </w:r>
      <w:r w:rsidRPr="0078273E">
        <w:rPr>
          <w:sz w:val="28"/>
          <w:szCs w:val="28"/>
        </w:rPr>
        <w:t>сбережению;</w:t>
      </w:r>
    </w:p>
    <w:p w:rsidR="001E4765" w:rsidRPr="0078273E" w:rsidRDefault="001E4765" w:rsidP="001E4765">
      <w:pPr>
        <w:ind w:firstLine="709"/>
        <w:jc w:val="both"/>
        <w:rPr>
          <w:sz w:val="28"/>
          <w:szCs w:val="28"/>
        </w:rPr>
      </w:pPr>
      <w:r w:rsidRPr="0078273E">
        <w:rPr>
          <w:sz w:val="28"/>
          <w:szCs w:val="28"/>
        </w:rPr>
        <w:t>по холодной воде - с контролем над объемами потребления, недопущение роста потребления холодной воды, проведением  мероприятий по энергосбережению.</w:t>
      </w:r>
    </w:p>
    <w:p w:rsidR="002A2F13" w:rsidRPr="0078273E" w:rsidRDefault="002A2F13" w:rsidP="00504571">
      <w:pPr>
        <w:widowControl w:val="0"/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</w:p>
    <w:p w:rsidR="001E4765" w:rsidRPr="0078273E" w:rsidRDefault="001E4765" w:rsidP="00D44725">
      <w:pPr>
        <w:ind w:firstLine="709"/>
        <w:jc w:val="both"/>
        <w:rPr>
          <w:sz w:val="28"/>
          <w:szCs w:val="28"/>
        </w:rPr>
      </w:pPr>
    </w:p>
    <w:p w:rsidR="001E4765" w:rsidRPr="0078273E" w:rsidRDefault="001E4765" w:rsidP="00D44725">
      <w:pPr>
        <w:ind w:firstLine="709"/>
        <w:jc w:val="both"/>
        <w:rPr>
          <w:sz w:val="28"/>
          <w:szCs w:val="28"/>
        </w:rPr>
      </w:pPr>
    </w:p>
    <w:p w:rsidR="001E4765" w:rsidRPr="0078273E" w:rsidRDefault="001E4765" w:rsidP="00D44725">
      <w:pPr>
        <w:ind w:firstLine="709"/>
        <w:jc w:val="both"/>
        <w:rPr>
          <w:sz w:val="28"/>
          <w:szCs w:val="28"/>
        </w:rPr>
      </w:pPr>
    </w:p>
    <w:sectPr w:rsidR="001E4765" w:rsidRPr="0078273E" w:rsidSect="00AE7B4B">
      <w:headerReference w:type="default" r:id="rId7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0940" w:rsidRDefault="00BE0940">
      <w:r>
        <w:separator/>
      </w:r>
    </w:p>
  </w:endnote>
  <w:endnote w:type="continuationSeparator" w:id="1">
    <w:p w:rsidR="00BE0940" w:rsidRDefault="00BE09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0940" w:rsidRDefault="00BE0940">
      <w:r>
        <w:separator/>
      </w:r>
    </w:p>
  </w:footnote>
  <w:footnote w:type="continuationSeparator" w:id="1">
    <w:p w:rsidR="00BE0940" w:rsidRDefault="00BE09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3730" w:rsidRDefault="00BE0940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31655A"/>
    <w:multiLevelType w:val="hybridMultilevel"/>
    <w:tmpl w:val="49F0D92E"/>
    <w:lvl w:ilvl="0" w:tplc="D19A92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7860"/>
    <w:rsid w:val="00013405"/>
    <w:rsid w:val="000645F9"/>
    <w:rsid w:val="000739F8"/>
    <w:rsid w:val="000768EA"/>
    <w:rsid w:val="000F23E7"/>
    <w:rsid w:val="000F3505"/>
    <w:rsid w:val="00101CC3"/>
    <w:rsid w:val="00121116"/>
    <w:rsid w:val="00123329"/>
    <w:rsid w:val="00134FDB"/>
    <w:rsid w:val="00183F8B"/>
    <w:rsid w:val="001A7860"/>
    <w:rsid w:val="001B575D"/>
    <w:rsid w:val="001B7F18"/>
    <w:rsid w:val="001C7CF2"/>
    <w:rsid w:val="001D2D13"/>
    <w:rsid w:val="001E4379"/>
    <w:rsid w:val="001E4765"/>
    <w:rsid w:val="001E705E"/>
    <w:rsid w:val="0022310C"/>
    <w:rsid w:val="0022711C"/>
    <w:rsid w:val="00240193"/>
    <w:rsid w:val="00246F2A"/>
    <w:rsid w:val="002533C8"/>
    <w:rsid w:val="00285A1D"/>
    <w:rsid w:val="002943B6"/>
    <w:rsid w:val="002A2F13"/>
    <w:rsid w:val="0031269F"/>
    <w:rsid w:val="00327D57"/>
    <w:rsid w:val="00327E6F"/>
    <w:rsid w:val="003676FD"/>
    <w:rsid w:val="0037543A"/>
    <w:rsid w:val="0038693B"/>
    <w:rsid w:val="003A640A"/>
    <w:rsid w:val="003E5CB0"/>
    <w:rsid w:val="00417E80"/>
    <w:rsid w:val="00485C77"/>
    <w:rsid w:val="004C401D"/>
    <w:rsid w:val="004C4F40"/>
    <w:rsid w:val="004C7DDA"/>
    <w:rsid w:val="00504571"/>
    <w:rsid w:val="00521D50"/>
    <w:rsid w:val="00551100"/>
    <w:rsid w:val="00572E87"/>
    <w:rsid w:val="005B1D9D"/>
    <w:rsid w:val="005D423D"/>
    <w:rsid w:val="006021BB"/>
    <w:rsid w:val="006233BA"/>
    <w:rsid w:val="00672681"/>
    <w:rsid w:val="006B6E09"/>
    <w:rsid w:val="006D7D25"/>
    <w:rsid w:val="006E3F37"/>
    <w:rsid w:val="0073106E"/>
    <w:rsid w:val="007541D9"/>
    <w:rsid w:val="007668E3"/>
    <w:rsid w:val="0078273E"/>
    <w:rsid w:val="007C211D"/>
    <w:rsid w:val="0082479D"/>
    <w:rsid w:val="008915CD"/>
    <w:rsid w:val="008D6D74"/>
    <w:rsid w:val="008D77AB"/>
    <w:rsid w:val="00912605"/>
    <w:rsid w:val="00931D84"/>
    <w:rsid w:val="00932FD6"/>
    <w:rsid w:val="0097032F"/>
    <w:rsid w:val="0098754C"/>
    <w:rsid w:val="009D0062"/>
    <w:rsid w:val="009D6BBC"/>
    <w:rsid w:val="009E2072"/>
    <w:rsid w:val="009F5C57"/>
    <w:rsid w:val="00A16DE8"/>
    <w:rsid w:val="00A67F7E"/>
    <w:rsid w:val="00A9639F"/>
    <w:rsid w:val="00AF5E0F"/>
    <w:rsid w:val="00B50F43"/>
    <w:rsid w:val="00B60494"/>
    <w:rsid w:val="00B662AB"/>
    <w:rsid w:val="00B96004"/>
    <w:rsid w:val="00BA749D"/>
    <w:rsid w:val="00BE0940"/>
    <w:rsid w:val="00C0514D"/>
    <w:rsid w:val="00C0549F"/>
    <w:rsid w:val="00C12AF3"/>
    <w:rsid w:val="00C24D0D"/>
    <w:rsid w:val="00C931FE"/>
    <w:rsid w:val="00CC772E"/>
    <w:rsid w:val="00D0126A"/>
    <w:rsid w:val="00D16D12"/>
    <w:rsid w:val="00D30518"/>
    <w:rsid w:val="00D32DBD"/>
    <w:rsid w:val="00D44725"/>
    <w:rsid w:val="00D733E1"/>
    <w:rsid w:val="00D81442"/>
    <w:rsid w:val="00D95094"/>
    <w:rsid w:val="00E270B0"/>
    <w:rsid w:val="00E33EB3"/>
    <w:rsid w:val="00E6119F"/>
    <w:rsid w:val="00E64D29"/>
    <w:rsid w:val="00EE57A9"/>
    <w:rsid w:val="00EE6722"/>
    <w:rsid w:val="00F05BC3"/>
    <w:rsid w:val="00F41838"/>
    <w:rsid w:val="00F5186C"/>
    <w:rsid w:val="00F6142D"/>
    <w:rsid w:val="00F669D0"/>
    <w:rsid w:val="00FC7E78"/>
    <w:rsid w:val="00FE2B7C"/>
    <w:rsid w:val="00FF40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8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link w:val="ConsPlusTitle0"/>
    <w:uiPriority w:val="99"/>
    <w:rsid w:val="001A78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Title0">
    <w:name w:val="ConsPlusTitle Знак"/>
    <w:basedOn w:val="a0"/>
    <w:link w:val="ConsPlusTitle"/>
    <w:uiPriority w:val="99"/>
    <w:rsid w:val="001A7860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A7860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styleId="a4">
    <w:name w:val="Hyperlink"/>
    <w:basedOn w:val="a0"/>
    <w:rsid w:val="001A7860"/>
    <w:rPr>
      <w:color w:val="0000FF"/>
      <w:u w:val="single"/>
    </w:rPr>
  </w:style>
  <w:style w:type="table" w:styleId="a5">
    <w:name w:val="Table Grid"/>
    <w:basedOn w:val="a1"/>
    <w:uiPriority w:val="59"/>
    <w:rsid w:val="001A78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nhideWhenUsed/>
    <w:rsid w:val="001A786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1A78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Обычный+14п"/>
    <w:basedOn w:val="a8"/>
    <w:uiPriority w:val="99"/>
    <w:rsid w:val="002943B6"/>
    <w:pPr>
      <w:spacing w:line="360" w:lineRule="auto"/>
      <w:ind w:firstLine="709"/>
      <w:jc w:val="both"/>
      <w:outlineLvl w:val="0"/>
    </w:pPr>
    <w:rPr>
      <w:bCs/>
      <w:kern w:val="36"/>
    </w:rPr>
  </w:style>
  <w:style w:type="character" w:styleId="a9">
    <w:name w:val="Strong"/>
    <w:basedOn w:val="a0"/>
    <w:qFormat/>
    <w:rsid w:val="002943B6"/>
    <w:rPr>
      <w:rFonts w:cs="Times New Roman"/>
      <w:b/>
      <w:bCs/>
    </w:rPr>
  </w:style>
  <w:style w:type="paragraph" w:styleId="a8">
    <w:name w:val="Body Text"/>
    <w:basedOn w:val="a"/>
    <w:link w:val="aa"/>
    <w:uiPriority w:val="99"/>
    <w:semiHidden/>
    <w:unhideWhenUsed/>
    <w:rsid w:val="002943B6"/>
    <w:pPr>
      <w:spacing w:after="120"/>
    </w:pPr>
  </w:style>
  <w:style w:type="character" w:customStyle="1" w:styleId="aa">
    <w:name w:val="Основной текст Знак"/>
    <w:basedOn w:val="a0"/>
    <w:link w:val="a8"/>
    <w:uiPriority w:val="99"/>
    <w:semiHidden/>
    <w:rsid w:val="002943B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8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link w:val="ConsPlusTitle0"/>
    <w:uiPriority w:val="99"/>
    <w:rsid w:val="001A78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Title0">
    <w:name w:val="ConsPlusTitle Знак"/>
    <w:basedOn w:val="a0"/>
    <w:link w:val="ConsPlusTitle"/>
    <w:uiPriority w:val="99"/>
    <w:rsid w:val="001A7860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A7860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styleId="a4">
    <w:name w:val="Hyperlink"/>
    <w:basedOn w:val="a0"/>
    <w:rsid w:val="001A7860"/>
    <w:rPr>
      <w:color w:val="0000FF"/>
      <w:u w:val="single"/>
    </w:rPr>
  </w:style>
  <w:style w:type="table" w:styleId="a5">
    <w:name w:val="Table Grid"/>
    <w:basedOn w:val="a1"/>
    <w:uiPriority w:val="59"/>
    <w:rsid w:val="001A78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nhideWhenUsed/>
    <w:rsid w:val="001A786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1A78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Обычный+14п"/>
    <w:basedOn w:val="a8"/>
    <w:uiPriority w:val="99"/>
    <w:rsid w:val="002943B6"/>
    <w:pPr>
      <w:spacing w:line="360" w:lineRule="auto"/>
      <w:ind w:firstLine="709"/>
      <w:jc w:val="both"/>
      <w:outlineLvl w:val="0"/>
    </w:pPr>
    <w:rPr>
      <w:bCs/>
      <w:kern w:val="36"/>
    </w:rPr>
  </w:style>
  <w:style w:type="character" w:styleId="a9">
    <w:name w:val="Strong"/>
    <w:basedOn w:val="a0"/>
    <w:qFormat/>
    <w:rsid w:val="002943B6"/>
    <w:rPr>
      <w:rFonts w:cs="Times New Roman"/>
      <w:b/>
      <w:bCs/>
    </w:rPr>
  </w:style>
  <w:style w:type="paragraph" w:styleId="a8">
    <w:name w:val="Body Text"/>
    <w:basedOn w:val="a"/>
    <w:link w:val="aa"/>
    <w:uiPriority w:val="99"/>
    <w:semiHidden/>
    <w:unhideWhenUsed/>
    <w:rsid w:val="002943B6"/>
    <w:pPr>
      <w:spacing w:after="120"/>
    </w:pPr>
  </w:style>
  <w:style w:type="character" w:customStyle="1" w:styleId="aa">
    <w:name w:val="Основной текст Знак"/>
    <w:basedOn w:val="a0"/>
    <w:link w:val="a8"/>
    <w:uiPriority w:val="99"/>
    <w:semiHidden/>
    <w:rsid w:val="002943B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4</Pages>
  <Words>1196</Words>
  <Characters>6823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ZarbalievaEM</dc:creator>
  <cp:lastModifiedBy>AleksandrovaIY</cp:lastModifiedBy>
  <cp:revision>72</cp:revision>
  <cp:lastPrinted>2014-10-13T03:53:00Z</cp:lastPrinted>
  <dcterms:created xsi:type="dcterms:W3CDTF">2013-10-31T10:39:00Z</dcterms:created>
  <dcterms:modified xsi:type="dcterms:W3CDTF">2014-10-13T04:33:00Z</dcterms:modified>
</cp:coreProperties>
</file>