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DC6639" w:rsidP="00DC6639">
      <w:pPr>
        <w:jc w:val="center"/>
        <w:rPr>
          <w:b/>
          <w:sz w:val="24"/>
          <w:szCs w:val="24"/>
        </w:rPr>
      </w:pPr>
    </w:p>
    <w:p w:rsidR="003A7FFE" w:rsidRPr="006A787A" w:rsidRDefault="003A7FFE" w:rsidP="003A7FFE">
      <w:pPr>
        <w:jc w:val="center"/>
        <w:rPr>
          <w:b/>
          <w:sz w:val="24"/>
          <w:szCs w:val="24"/>
        </w:rPr>
      </w:pPr>
      <w:r w:rsidRPr="006A787A">
        <w:rPr>
          <w:b/>
          <w:sz w:val="24"/>
          <w:szCs w:val="24"/>
        </w:rPr>
        <w:t>Уведомление</w:t>
      </w:r>
    </w:p>
    <w:p w:rsidR="003A7FFE" w:rsidRPr="006A787A" w:rsidRDefault="003A7FFE" w:rsidP="003A7FFE">
      <w:pPr>
        <w:jc w:val="center"/>
        <w:rPr>
          <w:b/>
          <w:sz w:val="24"/>
          <w:szCs w:val="24"/>
        </w:rPr>
      </w:pPr>
      <w:r w:rsidRPr="006A787A">
        <w:rPr>
          <w:b/>
          <w:sz w:val="24"/>
          <w:szCs w:val="24"/>
        </w:rPr>
        <w:t>о проведении публичных консультаций по проекту</w:t>
      </w:r>
    </w:p>
    <w:p w:rsidR="003A7FFE" w:rsidRPr="006A787A" w:rsidRDefault="003A7FFE" w:rsidP="003A7FFE">
      <w:pPr>
        <w:jc w:val="center"/>
        <w:rPr>
          <w:b/>
          <w:sz w:val="24"/>
          <w:szCs w:val="24"/>
        </w:rPr>
      </w:pPr>
      <w:r w:rsidRPr="006A787A">
        <w:rPr>
          <w:b/>
          <w:sz w:val="24"/>
          <w:szCs w:val="24"/>
        </w:rPr>
        <w:t>муниципального нормативного правового акта</w:t>
      </w:r>
    </w:p>
    <w:p w:rsidR="003A7FFE" w:rsidRPr="006A787A" w:rsidRDefault="003A7FFE" w:rsidP="003A7FFE">
      <w:pPr>
        <w:jc w:val="center"/>
        <w:rPr>
          <w:b/>
        </w:rPr>
      </w:pPr>
    </w:p>
    <w:p w:rsidR="003A7FFE" w:rsidRPr="00C65F6A" w:rsidRDefault="003A7FFE" w:rsidP="00C65F6A">
      <w:pPr>
        <w:autoSpaceDE w:val="0"/>
        <w:autoSpaceDN w:val="0"/>
        <w:ind w:firstLine="708"/>
        <w:jc w:val="both"/>
        <w:rPr>
          <w:iCs/>
          <w:sz w:val="24"/>
          <w:szCs w:val="24"/>
        </w:rPr>
      </w:pPr>
      <w:r w:rsidRPr="006A787A">
        <w:rPr>
          <w:sz w:val="24"/>
          <w:szCs w:val="24"/>
        </w:rPr>
        <w:t xml:space="preserve">Настоящим  </w:t>
      </w:r>
      <w:r w:rsidR="00C65F6A">
        <w:rPr>
          <w:iCs/>
          <w:sz w:val="24"/>
          <w:szCs w:val="24"/>
        </w:rPr>
        <w:t xml:space="preserve">отдел инвестиций и проектной деятельности департамента экономики администрации района </w:t>
      </w:r>
      <w:r w:rsidRPr="006A787A">
        <w:rPr>
          <w:sz w:val="24"/>
          <w:szCs w:val="24"/>
        </w:rPr>
        <w:t>извещает о начале обсуждения предлагаемого правового регулиров</w:t>
      </w:r>
      <w:r w:rsidRPr="006A787A">
        <w:rPr>
          <w:sz w:val="24"/>
          <w:szCs w:val="24"/>
        </w:rPr>
        <w:t>а</w:t>
      </w:r>
      <w:r w:rsidRPr="006A787A">
        <w:rPr>
          <w:sz w:val="24"/>
          <w:szCs w:val="24"/>
        </w:rPr>
        <w:t>ния и сборе предложений заинтересованных лиц по проекту</w:t>
      </w:r>
      <w:r w:rsidR="00C65F6A">
        <w:rPr>
          <w:sz w:val="24"/>
          <w:szCs w:val="24"/>
        </w:rPr>
        <w:t xml:space="preserve"> </w:t>
      </w:r>
      <w:r w:rsidR="00C65F6A" w:rsidRPr="00C65F6A">
        <w:rPr>
          <w:sz w:val="24"/>
          <w:szCs w:val="24"/>
        </w:rPr>
        <w:t xml:space="preserve">постановления администрации района «О внесении изменений  в постановление администрации района от 17.06.2014 № 1144 «О порядке проведения </w:t>
      </w:r>
      <w:r w:rsidR="00653A25">
        <w:rPr>
          <w:sz w:val="24"/>
          <w:szCs w:val="24"/>
        </w:rPr>
        <w:t xml:space="preserve">проверок </w:t>
      </w:r>
      <w:r w:rsidR="00C65F6A" w:rsidRPr="00C65F6A">
        <w:rPr>
          <w:sz w:val="24"/>
          <w:szCs w:val="24"/>
        </w:rPr>
        <w:t>инвестиционных проектов»</w:t>
      </w:r>
      <w:r w:rsidR="00B716D7">
        <w:rPr>
          <w:sz w:val="24"/>
          <w:szCs w:val="24"/>
        </w:rPr>
        <w:t>.</w:t>
      </w:r>
    </w:p>
    <w:p w:rsidR="003A7FFE" w:rsidRPr="006A787A" w:rsidRDefault="003A7FFE" w:rsidP="00C65F6A">
      <w:pPr>
        <w:autoSpaceDE w:val="0"/>
        <w:autoSpaceDN w:val="0"/>
        <w:jc w:val="both"/>
        <w:rPr>
          <w:i/>
          <w:i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5392"/>
        <w:gridCol w:w="3685"/>
      </w:tblGrid>
      <w:tr w:rsidR="003A7FFE" w:rsidRPr="006A787A" w:rsidTr="00C65F6A">
        <w:trPr>
          <w:trHeight w:val="340"/>
        </w:trPr>
        <w:tc>
          <w:tcPr>
            <w:tcW w:w="562"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1.</w:t>
            </w:r>
          </w:p>
        </w:tc>
        <w:tc>
          <w:tcPr>
            <w:tcW w:w="5392" w:type="dxa"/>
          </w:tcPr>
          <w:p w:rsidR="003A7FFE" w:rsidRPr="006A787A" w:rsidRDefault="003A7FFE" w:rsidP="001D0F56">
            <w:pPr>
              <w:tabs>
                <w:tab w:val="right" w:pos="9923"/>
              </w:tabs>
              <w:autoSpaceDE w:val="0"/>
              <w:autoSpaceDN w:val="0"/>
              <w:jc w:val="both"/>
              <w:rPr>
                <w:sz w:val="24"/>
                <w:szCs w:val="24"/>
              </w:rPr>
            </w:pPr>
            <w:r w:rsidRPr="006A787A">
              <w:rPr>
                <w:sz w:val="24"/>
                <w:szCs w:val="24"/>
              </w:rPr>
              <w:t>Цели предлагаемого правового регулирования</w:t>
            </w:r>
          </w:p>
        </w:tc>
        <w:tc>
          <w:tcPr>
            <w:tcW w:w="3685" w:type="dxa"/>
            <w:shd w:val="clear" w:color="auto" w:fill="auto"/>
          </w:tcPr>
          <w:p w:rsidR="003A7FFE" w:rsidRPr="00C65F6A" w:rsidRDefault="00C65F6A" w:rsidP="00C65F6A">
            <w:pPr>
              <w:tabs>
                <w:tab w:val="right" w:pos="9923"/>
              </w:tabs>
              <w:autoSpaceDE w:val="0"/>
              <w:autoSpaceDN w:val="0"/>
              <w:jc w:val="both"/>
              <w:rPr>
                <w:sz w:val="24"/>
                <w:szCs w:val="24"/>
              </w:rPr>
            </w:pPr>
            <w:proofErr w:type="gramStart"/>
            <w:r w:rsidRPr="00C65F6A">
              <w:rPr>
                <w:sz w:val="24"/>
                <w:szCs w:val="24"/>
              </w:rPr>
              <w:t>Утверждение нового Поря</w:t>
            </w:r>
            <w:r>
              <w:rPr>
                <w:sz w:val="24"/>
                <w:szCs w:val="24"/>
              </w:rPr>
              <w:t>д</w:t>
            </w:r>
            <w:r w:rsidRPr="00C65F6A">
              <w:rPr>
                <w:sz w:val="24"/>
                <w:szCs w:val="24"/>
              </w:rPr>
              <w:t>ка проведения проверки инвестиц</w:t>
            </w:r>
            <w:r w:rsidRPr="00C65F6A">
              <w:rPr>
                <w:sz w:val="24"/>
                <w:szCs w:val="24"/>
              </w:rPr>
              <w:t>и</w:t>
            </w:r>
            <w:r w:rsidRPr="00C65F6A">
              <w:rPr>
                <w:sz w:val="24"/>
                <w:szCs w:val="24"/>
              </w:rPr>
              <w:t>онных проектов, предусматр</w:t>
            </w:r>
            <w:r w:rsidRPr="00C65F6A">
              <w:rPr>
                <w:sz w:val="24"/>
                <w:szCs w:val="24"/>
              </w:rPr>
              <w:t>и</w:t>
            </w:r>
            <w:r w:rsidRPr="00C65F6A">
              <w:rPr>
                <w:sz w:val="24"/>
                <w:szCs w:val="24"/>
              </w:rPr>
              <w:t>вающих строительство, реконс</w:t>
            </w:r>
            <w:r w:rsidRPr="00C65F6A">
              <w:rPr>
                <w:sz w:val="24"/>
                <w:szCs w:val="24"/>
              </w:rPr>
              <w:t>т</w:t>
            </w:r>
            <w:r w:rsidRPr="00C65F6A">
              <w:rPr>
                <w:sz w:val="24"/>
                <w:szCs w:val="24"/>
              </w:rPr>
              <w:t>рукцию объектов капитального строительства, приобретение объектов недвижимого имущес</w:t>
            </w:r>
            <w:r w:rsidRPr="00C65F6A">
              <w:rPr>
                <w:sz w:val="24"/>
                <w:szCs w:val="24"/>
              </w:rPr>
              <w:t>т</w:t>
            </w:r>
            <w:r w:rsidRPr="00C65F6A">
              <w:rPr>
                <w:sz w:val="24"/>
                <w:szCs w:val="24"/>
              </w:rPr>
              <w:t>ва, финансовое обеспечение к</w:t>
            </w:r>
            <w:r w:rsidRPr="00C65F6A">
              <w:rPr>
                <w:sz w:val="24"/>
                <w:szCs w:val="24"/>
              </w:rPr>
              <w:t>о</w:t>
            </w:r>
            <w:r w:rsidRPr="00C65F6A">
              <w:rPr>
                <w:sz w:val="24"/>
                <w:szCs w:val="24"/>
              </w:rPr>
              <w:t>торых полностью или частично осуществляется из бюджета м</w:t>
            </w:r>
            <w:r w:rsidRPr="00C65F6A">
              <w:rPr>
                <w:sz w:val="24"/>
                <w:szCs w:val="24"/>
              </w:rPr>
              <w:t>у</w:t>
            </w:r>
            <w:r w:rsidRPr="00C65F6A">
              <w:rPr>
                <w:sz w:val="24"/>
                <w:szCs w:val="24"/>
              </w:rPr>
              <w:t xml:space="preserve">ниципального образования </w:t>
            </w:r>
            <w:proofErr w:type="spellStart"/>
            <w:r w:rsidRPr="00C65F6A">
              <w:rPr>
                <w:sz w:val="24"/>
                <w:szCs w:val="24"/>
              </w:rPr>
              <w:t>Ни</w:t>
            </w:r>
            <w:r w:rsidRPr="00C65F6A">
              <w:rPr>
                <w:sz w:val="24"/>
                <w:szCs w:val="24"/>
              </w:rPr>
              <w:t>ж</w:t>
            </w:r>
            <w:r w:rsidRPr="00C65F6A">
              <w:rPr>
                <w:sz w:val="24"/>
                <w:szCs w:val="24"/>
              </w:rPr>
              <w:t>невартовский</w:t>
            </w:r>
            <w:proofErr w:type="spellEnd"/>
            <w:r w:rsidRPr="00C65F6A">
              <w:rPr>
                <w:sz w:val="24"/>
                <w:szCs w:val="24"/>
              </w:rPr>
              <w:t xml:space="preserve"> район, на предмет эффективности использования средств бюджета района, напра</w:t>
            </w:r>
            <w:r w:rsidRPr="00C65F6A">
              <w:rPr>
                <w:sz w:val="24"/>
                <w:szCs w:val="24"/>
              </w:rPr>
              <w:t>в</w:t>
            </w:r>
            <w:r w:rsidRPr="00C65F6A">
              <w:rPr>
                <w:sz w:val="24"/>
                <w:szCs w:val="24"/>
              </w:rPr>
              <w:t>ляемых на капитальные влож</w:t>
            </w:r>
            <w:r w:rsidRPr="00C65F6A">
              <w:rPr>
                <w:sz w:val="24"/>
                <w:szCs w:val="24"/>
              </w:rPr>
              <w:t>е</w:t>
            </w:r>
            <w:r w:rsidRPr="00C65F6A">
              <w:rPr>
                <w:sz w:val="24"/>
                <w:szCs w:val="24"/>
              </w:rPr>
              <w:t>ния</w:t>
            </w:r>
            <w:proofErr w:type="gramEnd"/>
          </w:p>
        </w:tc>
      </w:tr>
      <w:tr w:rsidR="003A7FFE" w:rsidRPr="006A787A" w:rsidTr="00C65F6A">
        <w:trPr>
          <w:trHeight w:val="340"/>
        </w:trPr>
        <w:tc>
          <w:tcPr>
            <w:tcW w:w="562"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2.</w:t>
            </w:r>
          </w:p>
        </w:tc>
        <w:tc>
          <w:tcPr>
            <w:tcW w:w="5392" w:type="dxa"/>
          </w:tcPr>
          <w:p w:rsidR="003A7FFE" w:rsidRPr="006A787A" w:rsidRDefault="003A7FFE" w:rsidP="001D0F56">
            <w:pPr>
              <w:tabs>
                <w:tab w:val="right" w:pos="9923"/>
              </w:tabs>
              <w:autoSpaceDE w:val="0"/>
              <w:autoSpaceDN w:val="0"/>
              <w:jc w:val="both"/>
              <w:rPr>
                <w:sz w:val="24"/>
                <w:szCs w:val="24"/>
              </w:rPr>
            </w:pPr>
            <w:r w:rsidRPr="006A787A">
              <w:rPr>
                <w:sz w:val="24"/>
                <w:szCs w:val="24"/>
              </w:rPr>
              <w:t>Оценка количества субъектов предпринимател</w:t>
            </w:r>
            <w:r w:rsidRPr="006A787A">
              <w:rPr>
                <w:sz w:val="24"/>
                <w:szCs w:val="24"/>
              </w:rPr>
              <w:t>ь</w:t>
            </w:r>
            <w:r w:rsidRPr="006A787A">
              <w:rPr>
                <w:sz w:val="24"/>
                <w:szCs w:val="24"/>
              </w:rPr>
              <w:t>ской и инвестиционной деятельности, иных заи</w:t>
            </w:r>
            <w:r w:rsidRPr="006A787A">
              <w:rPr>
                <w:sz w:val="24"/>
                <w:szCs w:val="24"/>
              </w:rPr>
              <w:t>н</w:t>
            </w:r>
            <w:r w:rsidRPr="006A787A">
              <w:rPr>
                <w:sz w:val="24"/>
                <w:szCs w:val="24"/>
              </w:rPr>
              <w:t>тересованных лиц, включая органы государс</w:t>
            </w:r>
            <w:r w:rsidRPr="006A787A">
              <w:rPr>
                <w:sz w:val="24"/>
                <w:szCs w:val="24"/>
              </w:rPr>
              <w:t>т</w:t>
            </w:r>
            <w:r w:rsidRPr="006A787A">
              <w:rPr>
                <w:sz w:val="24"/>
                <w:szCs w:val="24"/>
              </w:rPr>
              <w:t>венной власти, интересы которых будут затрон</w:t>
            </w:r>
            <w:r w:rsidRPr="006A787A">
              <w:rPr>
                <w:sz w:val="24"/>
                <w:szCs w:val="24"/>
              </w:rPr>
              <w:t>у</w:t>
            </w:r>
            <w:r w:rsidRPr="006A787A">
              <w:rPr>
                <w:sz w:val="24"/>
                <w:szCs w:val="24"/>
              </w:rPr>
              <w:t>ты предлагаемым правовым регулированием, оценка количества таких субъектов</w:t>
            </w:r>
          </w:p>
        </w:tc>
        <w:tc>
          <w:tcPr>
            <w:tcW w:w="3685" w:type="dxa"/>
            <w:shd w:val="clear" w:color="auto" w:fill="auto"/>
          </w:tcPr>
          <w:p w:rsidR="003A7FFE" w:rsidRPr="006A787A" w:rsidRDefault="00B716D7" w:rsidP="001D0F56">
            <w:pPr>
              <w:tabs>
                <w:tab w:val="right" w:pos="9923"/>
              </w:tabs>
              <w:autoSpaceDE w:val="0"/>
              <w:autoSpaceDN w:val="0"/>
              <w:jc w:val="both"/>
              <w:rPr>
                <w:sz w:val="24"/>
                <w:szCs w:val="24"/>
              </w:rPr>
            </w:pPr>
            <w:r>
              <w:rPr>
                <w:sz w:val="24"/>
                <w:szCs w:val="24"/>
              </w:rPr>
              <w:t>1</w:t>
            </w:r>
          </w:p>
        </w:tc>
      </w:tr>
      <w:tr w:rsidR="003A7FFE" w:rsidRPr="006A787A" w:rsidTr="00C65F6A">
        <w:trPr>
          <w:trHeight w:val="340"/>
        </w:trPr>
        <w:tc>
          <w:tcPr>
            <w:tcW w:w="562"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3.</w:t>
            </w:r>
          </w:p>
        </w:tc>
        <w:tc>
          <w:tcPr>
            <w:tcW w:w="5392" w:type="dxa"/>
          </w:tcPr>
          <w:p w:rsidR="003A7FFE" w:rsidRPr="006A787A" w:rsidRDefault="003A7FFE" w:rsidP="001D0F56">
            <w:pPr>
              <w:tabs>
                <w:tab w:val="right" w:pos="9923"/>
              </w:tabs>
              <w:autoSpaceDE w:val="0"/>
              <w:autoSpaceDN w:val="0"/>
              <w:jc w:val="both"/>
              <w:rPr>
                <w:sz w:val="24"/>
                <w:szCs w:val="24"/>
              </w:rPr>
            </w:pPr>
            <w:r w:rsidRPr="006A787A">
              <w:rPr>
                <w:sz w:val="24"/>
                <w:szCs w:val="24"/>
              </w:rPr>
              <w:t>Описание новых обязанностей (ограничений) для субъектов предпринимательской и инвестицио</w:t>
            </w:r>
            <w:r w:rsidRPr="006A787A">
              <w:rPr>
                <w:sz w:val="24"/>
                <w:szCs w:val="24"/>
              </w:rPr>
              <w:t>н</w:t>
            </w:r>
            <w:r w:rsidRPr="006A787A">
              <w:rPr>
                <w:sz w:val="24"/>
                <w:szCs w:val="24"/>
              </w:rPr>
              <w:t>ной деятельности, либо изменение содержания существующих обязанностей и ограничений</w:t>
            </w:r>
          </w:p>
        </w:tc>
        <w:tc>
          <w:tcPr>
            <w:tcW w:w="3685" w:type="dxa"/>
            <w:shd w:val="clear" w:color="auto" w:fill="auto"/>
          </w:tcPr>
          <w:p w:rsidR="003A7FFE" w:rsidRPr="006A787A" w:rsidRDefault="00B716D7" w:rsidP="001D0F56">
            <w:pPr>
              <w:tabs>
                <w:tab w:val="right" w:pos="9923"/>
              </w:tabs>
              <w:autoSpaceDE w:val="0"/>
              <w:autoSpaceDN w:val="0"/>
              <w:jc w:val="both"/>
              <w:rPr>
                <w:sz w:val="24"/>
                <w:szCs w:val="24"/>
              </w:rPr>
            </w:pPr>
            <w:r>
              <w:rPr>
                <w:sz w:val="24"/>
                <w:szCs w:val="24"/>
              </w:rPr>
              <w:t>отсутствует</w:t>
            </w:r>
          </w:p>
        </w:tc>
      </w:tr>
      <w:tr w:rsidR="003A7FFE" w:rsidRPr="006A787A" w:rsidTr="00C65F6A">
        <w:tc>
          <w:tcPr>
            <w:tcW w:w="562" w:type="dxa"/>
            <w:shd w:val="clear" w:color="auto" w:fill="auto"/>
          </w:tcPr>
          <w:p w:rsidR="003A7FFE" w:rsidRPr="006A787A" w:rsidRDefault="003A7FFE" w:rsidP="001D0F56">
            <w:pPr>
              <w:tabs>
                <w:tab w:val="right" w:pos="9923"/>
              </w:tabs>
              <w:autoSpaceDE w:val="0"/>
              <w:autoSpaceDN w:val="0"/>
              <w:jc w:val="center"/>
              <w:rPr>
                <w:sz w:val="24"/>
                <w:szCs w:val="24"/>
              </w:rPr>
            </w:pPr>
            <w:r w:rsidRPr="006A787A">
              <w:rPr>
                <w:sz w:val="24"/>
                <w:szCs w:val="24"/>
              </w:rPr>
              <w:t>4.</w:t>
            </w:r>
          </w:p>
        </w:tc>
        <w:tc>
          <w:tcPr>
            <w:tcW w:w="5392" w:type="dxa"/>
          </w:tcPr>
          <w:p w:rsidR="003A7FFE" w:rsidRPr="006A787A" w:rsidRDefault="003A7FFE" w:rsidP="001D0F56">
            <w:pPr>
              <w:tabs>
                <w:tab w:val="right" w:pos="9923"/>
              </w:tabs>
              <w:autoSpaceDE w:val="0"/>
              <w:autoSpaceDN w:val="0"/>
              <w:jc w:val="both"/>
              <w:rPr>
                <w:sz w:val="24"/>
                <w:szCs w:val="24"/>
              </w:rPr>
            </w:pPr>
            <w:r w:rsidRPr="006A787A">
              <w:rPr>
                <w:sz w:val="24"/>
                <w:szCs w:val="24"/>
              </w:rPr>
              <w:t>Оценка расходов субъектов предпринимател</w:t>
            </w:r>
            <w:r w:rsidRPr="006A787A">
              <w:rPr>
                <w:sz w:val="24"/>
                <w:szCs w:val="24"/>
              </w:rPr>
              <w:t>ь</w:t>
            </w:r>
            <w:r w:rsidRPr="006A787A">
              <w:rPr>
                <w:sz w:val="24"/>
                <w:szCs w:val="24"/>
              </w:rPr>
              <w:t>ской и инвестиционной деятельности, связанных с предлагаемым правовым регулированием</w:t>
            </w:r>
          </w:p>
        </w:tc>
        <w:tc>
          <w:tcPr>
            <w:tcW w:w="3685" w:type="dxa"/>
            <w:shd w:val="clear" w:color="auto" w:fill="auto"/>
          </w:tcPr>
          <w:p w:rsidR="003A7FFE" w:rsidRPr="006A787A" w:rsidRDefault="00B716D7" w:rsidP="001D0F56">
            <w:pPr>
              <w:tabs>
                <w:tab w:val="right" w:pos="9923"/>
              </w:tabs>
              <w:autoSpaceDE w:val="0"/>
              <w:autoSpaceDN w:val="0"/>
              <w:jc w:val="both"/>
              <w:rPr>
                <w:sz w:val="24"/>
                <w:szCs w:val="24"/>
              </w:rPr>
            </w:pPr>
            <w:r>
              <w:rPr>
                <w:sz w:val="24"/>
                <w:szCs w:val="24"/>
              </w:rPr>
              <w:t>отсутствует</w:t>
            </w:r>
          </w:p>
        </w:tc>
      </w:tr>
      <w:tr w:rsidR="003A7FFE" w:rsidRPr="006A787A" w:rsidTr="00C65F6A">
        <w:trPr>
          <w:trHeight w:val="580"/>
        </w:trPr>
        <w:tc>
          <w:tcPr>
            <w:tcW w:w="562"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5.</w:t>
            </w:r>
          </w:p>
        </w:tc>
        <w:tc>
          <w:tcPr>
            <w:tcW w:w="5392" w:type="dxa"/>
          </w:tcPr>
          <w:p w:rsidR="003A7FFE" w:rsidRPr="006A787A" w:rsidRDefault="003A7FFE" w:rsidP="001D0F56">
            <w:pPr>
              <w:tabs>
                <w:tab w:val="right" w:pos="9923"/>
              </w:tabs>
              <w:autoSpaceDE w:val="0"/>
              <w:autoSpaceDN w:val="0"/>
              <w:jc w:val="both"/>
              <w:rPr>
                <w:sz w:val="24"/>
                <w:szCs w:val="24"/>
              </w:rPr>
            </w:pPr>
            <w:r w:rsidRPr="006A787A">
              <w:rPr>
                <w:sz w:val="24"/>
                <w:szCs w:val="24"/>
              </w:rPr>
              <w:t>Планируемый срок вступления в силу предлага</w:t>
            </w:r>
            <w:r w:rsidRPr="006A787A">
              <w:rPr>
                <w:sz w:val="24"/>
                <w:szCs w:val="24"/>
              </w:rPr>
              <w:t>е</w:t>
            </w:r>
            <w:r w:rsidRPr="006A787A">
              <w:rPr>
                <w:sz w:val="24"/>
                <w:szCs w:val="24"/>
              </w:rPr>
              <w:t>мого правового регулирования</w:t>
            </w:r>
          </w:p>
        </w:tc>
        <w:tc>
          <w:tcPr>
            <w:tcW w:w="3685" w:type="dxa"/>
            <w:shd w:val="clear" w:color="auto" w:fill="auto"/>
          </w:tcPr>
          <w:p w:rsidR="003A7FFE" w:rsidRPr="006A787A" w:rsidRDefault="00B716D7" w:rsidP="001D0F56">
            <w:pPr>
              <w:tabs>
                <w:tab w:val="right" w:pos="9923"/>
              </w:tabs>
              <w:autoSpaceDE w:val="0"/>
              <w:autoSpaceDN w:val="0"/>
              <w:jc w:val="both"/>
              <w:rPr>
                <w:sz w:val="24"/>
                <w:szCs w:val="24"/>
              </w:rPr>
            </w:pPr>
            <w:r>
              <w:rPr>
                <w:sz w:val="24"/>
                <w:szCs w:val="24"/>
              </w:rPr>
              <w:t>3 квартал 2019 года</w:t>
            </w:r>
          </w:p>
        </w:tc>
      </w:tr>
    </w:tbl>
    <w:p w:rsidR="003A7FFE" w:rsidRPr="006A787A" w:rsidRDefault="003A7FFE" w:rsidP="003A7FFE">
      <w:pPr>
        <w:tabs>
          <w:tab w:val="right" w:pos="9923"/>
        </w:tabs>
        <w:autoSpaceDE w:val="0"/>
        <w:autoSpaceDN w:val="0"/>
        <w:spacing w:before="120"/>
        <w:ind w:left="567"/>
        <w:rPr>
          <w:sz w:val="24"/>
          <w:szCs w:val="24"/>
        </w:rPr>
      </w:pPr>
    </w:p>
    <w:p w:rsidR="003A7FFE" w:rsidRPr="006A787A" w:rsidRDefault="003A7FFE" w:rsidP="003A7FFE">
      <w:pPr>
        <w:tabs>
          <w:tab w:val="right" w:pos="9923"/>
        </w:tabs>
        <w:autoSpaceDE w:val="0"/>
        <w:autoSpaceDN w:val="0"/>
        <w:spacing w:before="120"/>
        <w:ind w:left="567"/>
        <w:rPr>
          <w:sz w:val="24"/>
          <w:szCs w:val="24"/>
        </w:rPr>
      </w:pPr>
      <w:r w:rsidRPr="006A787A">
        <w:rPr>
          <w:sz w:val="24"/>
          <w:szCs w:val="24"/>
        </w:rPr>
        <w:t>Предложения принимаются по адресу:</w:t>
      </w:r>
      <w:r w:rsidR="00B716D7" w:rsidRPr="00B716D7">
        <w:rPr>
          <w:sz w:val="24"/>
          <w:szCs w:val="24"/>
        </w:rPr>
        <w:t xml:space="preserve"> </w:t>
      </w:r>
      <w:r w:rsidR="00B716D7" w:rsidRPr="009027B6">
        <w:rPr>
          <w:sz w:val="24"/>
          <w:szCs w:val="24"/>
        </w:rPr>
        <w:t>628602,</w:t>
      </w:r>
      <w:r w:rsidR="00B716D7" w:rsidRPr="009027B6">
        <w:rPr>
          <w:sz w:val="20"/>
        </w:rPr>
        <w:t xml:space="preserve"> </w:t>
      </w:r>
      <w:r w:rsidR="00B716D7" w:rsidRPr="009027B6">
        <w:rPr>
          <w:sz w:val="24"/>
          <w:szCs w:val="24"/>
        </w:rPr>
        <w:t xml:space="preserve">Ханты-Мансийский автономный округ – </w:t>
      </w:r>
      <w:proofErr w:type="spellStart"/>
      <w:r w:rsidR="00B716D7" w:rsidRPr="009027B6">
        <w:rPr>
          <w:sz w:val="24"/>
          <w:szCs w:val="24"/>
        </w:rPr>
        <w:t>Югра</w:t>
      </w:r>
      <w:proofErr w:type="spellEnd"/>
      <w:r w:rsidR="00B716D7" w:rsidRPr="009027B6">
        <w:rPr>
          <w:sz w:val="24"/>
          <w:szCs w:val="24"/>
        </w:rPr>
        <w:t xml:space="preserve">, </w:t>
      </w:r>
      <w:r w:rsidRPr="006A787A">
        <w:rPr>
          <w:sz w:val="24"/>
          <w:szCs w:val="24"/>
        </w:rPr>
        <w:t xml:space="preserve"> </w:t>
      </w:r>
      <w:r w:rsidR="00B716D7">
        <w:rPr>
          <w:sz w:val="24"/>
          <w:szCs w:val="24"/>
        </w:rPr>
        <w:t>г. Нижневартовск</w:t>
      </w:r>
      <w:r w:rsidRPr="006A787A">
        <w:rPr>
          <w:sz w:val="24"/>
          <w:szCs w:val="24"/>
        </w:rPr>
        <w:t>,</w:t>
      </w:r>
      <w:r w:rsidR="00B716D7">
        <w:rPr>
          <w:sz w:val="24"/>
          <w:szCs w:val="24"/>
        </w:rPr>
        <w:t xml:space="preserve"> ул. Ленина, 6, </w:t>
      </w:r>
      <w:proofErr w:type="spellStart"/>
      <w:r w:rsidR="00B716D7">
        <w:rPr>
          <w:sz w:val="24"/>
          <w:szCs w:val="24"/>
        </w:rPr>
        <w:t>каб</w:t>
      </w:r>
      <w:proofErr w:type="spellEnd"/>
      <w:r w:rsidR="00B716D7">
        <w:rPr>
          <w:sz w:val="24"/>
          <w:szCs w:val="24"/>
        </w:rPr>
        <w:t>. 315.</w:t>
      </w:r>
    </w:p>
    <w:p w:rsidR="003A7FFE" w:rsidRPr="006A787A" w:rsidRDefault="003A7FFE" w:rsidP="003A7FFE">
      <w:pPr>
        <w:autoSpaceDE w:val="0"/>
        <w:autoSpaceDN w:val="0"/>
        <w:ind w:right="-2"/>
        <w:rPr>
          <w:sz w:val="24"/>
          <w:szCs w:val="24"/>
        </w:rPr>
      </w:pPr>
      <w:r w:rsidRPr="006A787A">
        <w:rPr>
          <w:sz w:val="24"/>
          <w:szCs w:val="24"/>
        </w:rPr>
        <w:t xml:space="preserve">а также по адресу электронной почты: </w:t>
      </w:r>
      <w:hyperlink r:id="rId8" w:history="1">
        <w:r w:rsidR="00B716D7" w:rsidRPr="001A33B5">
          <w:rPr>
            <w:rStyle w:val="af9"/>
            <w:sz w:val="24"/>
            <w:szCs w:val="24"/>
            <w:lang w:val="en-US"/>
          </w:rPr>
          <w:t>GabovaEM</w:t>
        </w:r>
        <w:r w:rsidR="00B716D7" w:rsidRPr="001A33B5">
          <w:rPr>
            <w:rStyle w:val="af9"/>
            <w:sz w:val="24"/>
            <w:szCs w:val="24"/>
          </w:rPr>
          <w:t>@</w:t>
        </w:r>
        <w:r w:rsidR="00B716D7" w:rsidRPr="001A33B5">
          <w:rPr>
            <w:rStyle w:val="af9"/>
            <w:sz w:val="24"/>
            <w:szCs w:val="24"/>
            <w:lang w:val="en-US"/>
          </w:rPr>
          <w:t>NVraion</w:t>
        </w:r>
        <w:r w:rsidR="00B716D7" w:rsidRPr="001A33B5">
          <w:rPr>
            <w:rStyle w:val="af9"/>
            <w:sz w:val="24"/>
            <w:szCs w:val="24"/>
          </w:rPr>
          <w:t>.</w:t>
        </w:r>
        <w:r w:rsidR="00B716D7" w:rsidRPr="001A33B5">
          <w:rPr>
            <w:rStyle w:val="af9"/>
            <w:sz w:val="24"/>
            <w:szCs w:val="24"/>
            <w:lang w:val="en-US"/>
          </w:rPr>
          <w:t>ru</w:t>
        </w:r>
      </w:hyperlink>
      <w:r w:rsidR="00B716D7">
        <w:rPr>
          <w:sz w:val="24"/>
          <w:szCs w:val="24"/>
        </w:rPr>
        <w:t>,</w:t>
      </w:r>
    </w:p>
    <w:p w:rsidR="003A7FFE" w:rsidRPr="006A787A" w:rsidRDefault="003A7FFE" w:rsidP="00B716D7">
      <w:pPr>
        <w:autoSpaceDE w:val="0"/>
        <w:autoSpaceDN w:val="0"/>
        <w:spacing w:before="120"/>
        <w:ind w:firstLine="567"/>
        <w:jc w:val="both"/>
        <w:rPr>
          <w:sz w:val="24"/>
          <w:szCs w:val="24"/>
        </w:rPr>
      </w:pPr>
      <w:r w:rsidRPr="006A787A">
        <w:rPr>
          <w:sz w:val="24"/>
          <w:szCs w:val="24"/>
        </w:rPr>
        <w:t>Контактное лицо по вопросам проведения публичных консультаций</w:t>
      </w:r>
      <w:r w:rsidR="00B716D7">
        <w:rPr>
          <w:sz w:val="24"/>
          <w:szCs w:val="24"/>
        </w:rPr>
        <w:t>: Габова Эльвира Мансуровна,</w:t>
      </w:r>
      <w:r w:rsidR="00B716D7" w:rsidRPr="00B716D7">
        <w:rPr>
          <w:sz w:val="24"/>
          <w:szCs w:val="24"/>
        </w:rPr>
        <w:t xml:space="preserve"> </w:t>
      </w:r>
      <w:r w:rsidR="00B716D7">
        <w:rPr>
          <w:sz w:val="24"/>
          <w:szCs w:val="24"/>
        </w:rPr>
        <w:t>телефон: 8(3466)498593.</w:t>
      </w:r>
    </w:p>
    <w:p w:rsidR="003A7FFE" w:rsidRPr="006A787A" w:rsidRDefault="003A7FFE" w:rsidP="003A7FFE">
      <w:pPr>
        <w:autoSpaceDE w:val="0"/>
        <w:autoSpaceDN w:val="0"/>
        <w:spacing w:before="120"/>
        <w:ind w:left="567"/>
        <w:rPr>
          <w:sz w:val="24"/>
          <w:szCs w:val="24"/>
        </w:rPr>
      </w:pPr>
      <w:r w:rsidRPr="006A787A">
        <w:rPr>
          <w:sz w:val="24"/>
          <w:szCs w:val="24"/>
        </w:rPr>
        <w:t>Сроки приема предложений: с «</w:t>
      </w:r>
      <w:r w:rsidR="00B716D7">
        <w:rPr>
          <w:sz w:val="24"/>
          <w:szCs w:val="24"/>
        </w:rPr>
        <w:t>20</w:t>
      </w:r>
      <w:r w:rsidRPr="006A787A">
        <w:rPr>
          <w:sz w:val="24"/>
          <w:szCs w:val="24"/>
        </w:rPr>
        <w:t>»</w:t>
      </w:r>
      <w:r w:rsidR="00B716D7">
        <w:rPr>
          <w:sz w:val="24"/>
          <w:szCs w:val="24"/>
        </w:rPr>
        <w:t xml:space="preserve"> мая</w:t>
      </w:r>
      <w:r w:rsidRPr="006A787A">
        <w:rPr>
          <w:sz w:val="24"/>
          <w:szCs w:val="24"/>
        </w:rPr>
        <w:t xml:space="preserve"> </w:t>
      </w:r>
      <w:r w:rsidR="00B716D7">
        <w:rPr>
          <w:sz w:val="24"/>
          <w:szCs w:val="24"/>
        </w:rPr>
        <w:t xml:space="preserve">2019 </w:t>
      </w:r>
      <w:r w:rsidRPr="006A787A">
        <w:rPr>
          <w:sz w:val="24"/>
          <w:szCs w:val="24"/>
        </w:rPr>
        <w:t>г.  по «</w:t>
      </w:r>
      <w:r w:rsidR="00B716D7">
        <w:rPr>
          <w:sz w:val="24"/>
          <w:szCs w:val="24"/>
        </w:rPr>
        <w:t>03</w:t>
      </w:r>
      <w:r w:rsidRPr="006A787A">
        <w:rPr>
          <w:sz w:val="24"/>
          <w:szCs w:val="24"/>
        </w:rPr>
        <w:t>»</w:t>
      </w:r>
      <w:r w:rsidR="00B716D7">
        <w:rPr>
          <w:sz w:val="24"/>
          <w:szCs w:val="24"/>
        </w:rPr>
        <w:t xml:space="preserve"> июня  2019 </w:t>
      </w:r>
      <w:r w:rsidRPr="006A787A">
        <w:rPr>
          <w:sz w:val="24"/>
          <w:szCs w:val="24"/>
        </w:rPr>
        <w:t>г.</w:t>
      </w:r>
    </w:p>
    <w:p w:rsidR="003A7FFE" w:rsidRPr="006A787A" w:rsidRDefault="003A7FFE" w:rsidP="003A7FFE">
      <w:pPr>
        <w:autoSpaceDE w:val="0"/>
        <w:autoSpaceDN w:val="0"/>
        <w:ind w:right="-2"/>
        <w:jc w:val="center"/>
        <w:rPr>
          <w:i/>
          <w:iCs/>
          <w:sz w:val="24"/>
          <w:szCs w:val="24"/>
        </w:rPr>
      </w:pPr>
      <w:r w:rsidRPr="006A787A">
        <w:rPr>
          <w:i/>
          <w:iCs/>
          <w:sz w:val="24"/>
          <w:szCs w:val="24"/>
        </w:rPr>
        <w:t xml:space="preserve">                  </w:t>
      </w:r>
    </w:p>
    <w:p w:rsidR="003A7FFE" w:rsidRPr="006A787A" w:rsidRDefault="003A7FFE" w:rsidP="003A7FFE">
      <w:pPr>
        <w:autoSpaceDE w:val="0"/>
        <w:autoSpaceDN w:val="0"/>
        <w:ind w:firstLine="567"/>
        <w:jc w:val="both"/>
        <w:rPr>
          <w:sz w:val="24"/>
          <w:szCs w:val="24"/>
        </w:rPr>
      </w:pPr>
      <w:r w:rsidRPr="006A787A">
        <w:rPr>
          <w:sz w:val="24"/>
          <w:szCs w:val="24"/>
        </w:rPr>
        <w:lastRenderedPageBreak/>
        <w:t>Место размещения уведомления о проведении публичных консультаций по проекту нормативного правового акта в информаци</w:t>
      </w:r>
      <w:r>
        <w:rPr>
          <w:sz w:val="24"/>
          <w:szCs w:val="24"/>
        </w:rPr>
        <w:t>онно-телекоммуникационной сети Интернет</w:t>
      </w:r>
      <w:r w:rsidRPr="006A787A">
        <w:rPr>
          <w:sz w:val="24"/>
          <w:szCs w:val="24"/>
        </w:rPr>
        <w:t xml:space="preserve">: </w:t>
      </w:r>
    </w:p>
    <w:p w:rsidR="00B716D7" w:rsidRPr="00B716D7" w:rsidRDefault="00B1355B" w:rsidP="00B716D7">
      <w:pPr>
        <w:rPr>
          <w:sz w:val="24"/>
          <w:szCs w:val="24"/>
        </w:rPr>
      </w:pPr>
      <w:hyperlink r:id="rId9" w:history="1">
        <w:r w:rsidR="00B716D7" w:rsidRPr="00B716D7">
          <w:rPr>
            <w:rStyle w:val="af9"/>
            <w:sz w:val="24"/>
            <w:szCs w:val="24"/>
          </w:rPr>
          <w:t>http://regulation.admhmao.ru</w:t>
        </w:r>
      </w:hyperlink>
    </w:p>
    <w:p w:rsidR="003A7FFE" w:rsidRPr="006A787A" w:rsidRDefault="003A7FFE" w:rsidP="003A7FFE">
      <w:pPr>
        <w:tabs>
          <w:tab w:val="right" w:pos="9923"/>
        </w:tabs>
        <w:autoSpaceDE w:val="0"/>
        <w:autoSpaceDN w:val="0"/>
        <w:ind w:firstLine="567"/>
        <w:jc w:val="both"/>
        <w:rPr>
          <w:sz w:val="24"/>
          <w:szCs w:val="24"/>
        </w:rPr>
      </w:pPr>
    </w:p>
    <w:p w:rsidR="003A7FFE" w:rsidRPr="006A787A" w:rsidRDefault="003A7FFE" w:rsidP="003A7FFE">
      <w:pPr>
        <w:tabs>
          <w:tab w:val="right" w:pos="9923"/>
        </w:tabs>
        <w:autoSpaceDE w:val="0"/>
        <w:autoSpaceDN w:val="0"/>
        <w:ind w:firstLine="567"/>
        <w:jc w:val="both"/>
        <w:rPr>
          <w:sz w:val="24"/>
          <w:szCs w:val="24"/>
        </w:rPr>
      </w:pPr>
    </w:p>
    <w:p w:rsidR="003A7FFE" w:rsidRPr="006A787A" w:rsidRDefault="003A7FFE" w:rsidP="003A7FFE">
      <w:pPr>
        <w:autoSpaceDE w:val="0"/>
        <w:autoSpaceDN w:val="0"/>
        <w:spacing w:after="120"/>
        <w:ind w:firstLine="567"/>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3A7FFE" w:rsidRPr="006A787A" w:rsidTr="001D0F56">
        <w:tc>
          <w:tcPr>
            <w:tcW w:w="534"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1</w:t>
            </w:r>
          </w:p>
        </w:tc>
        <w:tc>
          <w:tcPr>
            <w:tcW w:w="9105" w:type="dxa"/>
            <w:shd w:val="clear" w:color="auto" w:fill="auto"/>
          </w:tcPr>
          <w:p w:rsidR="003A7FFE" w:rsidRPr="006A787A" w:rsidRDefault="003A7FFE" w:rsidP="001D0F56">
            <w:pPr>
              <w:autoSpaceDE w:val="0"/>
              <w:autoSpaceDN w:val="0"/>
              <w:spacing w:after="120"/>
              <w:jc w:val="both"/>
              <w:rPr>
                <w:sz w:val="24"/>
                <w:szCs w:val="24"/>
              </w:rPr>
            </w:pPr>
            <w:r w:rsidRPr="006A787A">
              <w:rPr>
                <w:sz w:val="24"/>
                <w:szCs w:val="24"/>
              </w:rPr>
              <w:t>Перечень вопросов для участников публичных консультаций</w:t>
            </w:r>
          </w:p>
        </w:tc>
      </w:tr>
      <w:tr w:rsidR="003A7FFE" w:rsidRPr="006A787A" w:rsidTr="001D0F56">
        <w:tc>
          <w:tcPr>
            <w:tcW w:w="534" w:type="dxa"/>
            <w:shd w:val="clear" w:color="auto" w:fill="auto"/>
          </w:tcPr>
          <w:p w:rsidR="003A7FFE" w:rsidRPr="006A787A" w:rsidRDefault="003A7FFE" w:rsidP="001D0F56">
            <w:pPr>
              <w:autoSpaceDE w:val="0"/>
              <w:autoSpaceDN w:val="0"/>
              <w:spacing w:after="120"/>
              <w:jc w:val="center"/>
              <w:rPr>
                <w:sz w:val="24"/>
                <w:szCs w:val="24"/>
              </w:rPr>
            </w:pPr>
            <w:r w:rsidRPr="006A787A">
              <w:rPr>
                <w:sz w:val="24"/>
                <w:szCs w:val="24"/>
              </w:rPr>
              <w:t>2</w:t>
            </w:r>
          </w:p>
        </w:tc>
        <w:tc>
          <w:tcPr>
            <w:tcW w:w="9105" w:type="dxa"/>
            <w:shd w:val="clear" w:color="auto" w:fill="auto"/>
          </w:tcPr>
          <w:p w:rsidR="003A7FFE" w:rsidRPr="006A787A" w:rsidRDefault="00B716D7" w:rsidP="001D0F56">
            <w:pPr>
              <w:autoSpaceDE w:val="0"/>
              <w:autoSpaceDN w:val="0"/>
              <w:spacing w:after="120"/>
              <w:jc w:val="both"/>
              <w:rPr>
                <w:sz w:val="24"/>
                <w:szCs w:val="24"/>
              </w:rPr>
            </w:pPr>
            <w:r>
              <w:rPr>
                <w:sz w:val="24"/>
                <w:szCs w:val="24"/>
              </w:rPr>
              <w:t>Проект постановления</w:t>
            </w:r>
          </w:p>
        </w:tc>
      </w:tr>
      <w:tr w:rsidR="00B716D7" w:rsidRPr="006A787A" w:rsidTr="001D0F56">
        <w:tc>
          <w:tcPr>
            <w:tcW w:w="534" w:type="dxa"/>
            <w:shd w:val="clear" w:color="auto" w:fill="auto"/>
          </w:tcPr>
          <w:p w:rsidR="00B716D7" w:rsidRPr="006A787A" w:rsidRDefault="00B716D7" w:rsidP="001D0F56">
            <w:pPr>
              <w:autoSpaceDE w:val="0"/>
              <w:autoSpaceDN w:val="0"/>
              <w:spacing w:after="120"/>
              <w:jc w:val="center"/>
              <w:rPr>
                <w:sz w:val="24"/>
                <w:szCs w:val="24"/>
              </w:rPr>
            </w:pPr>
            <w:r>
              <w:rPr>
                <w:sz w:val="24"/>
                <w:szCs w:val="24"/>
              </w:rPr>
              <w:t>3</w:t>
            </w:r>
          </w:p>
        </w:tc>
        <w:tc>
          <w:tcPr>
            <w:tcW w:w="9105" w:type="dxa"/>
            <w:shd w:val="clear" w:color="auto" w:fill="auto"/>
          </w:tcPr>
          <w:p w:rsidR="00B716D7" w:rsidRDefault="00B716D7" w:rsidP="001D0F56">
            <w:pPr>
              <w:autoSpaceDE w:val="0"/>
              <w:autoSpaceDN w:val="0"/>
              <w:spacing w:after="120"/>
              <w:jc w:val="both"/>
              <w:rPr>
                <w:sz w:val="24"/>
                <w:szCs w:val="24"/>
              </w:rPr>
            </w:pPr>
            <w:r>
              <w:rPr>
                <w:sz w:val="24"/>
                <w:szCs w:val="24"/>
              </w:rPr>
              <w:t>Пояснительная записка</w:t>
            </w:r>
          </w:p>
        </w:tc>
      </w:tr>
    </w:tbl>
    <w:p w:rsidR="00D470C6" w:rsidRDefault="00D470C6" w:rsidP="001A4C6C">
      <w:pPr>
        <w:ind w:left="10206"/>
        <w:rPr>
          <w:rFonts w:ascii="Calibri" w:eastAsia="Calibri" w:hAnsi="Calibri"/>
          <w:sz w:val="22"/>
          <w:szCs w:val="22"/>
          <w:lang w:eastAsia="en-US"/>
        </w:rPr>
      </w:pPr>
    </w:p>
    <w:sectPr w:rsidR="00D470C6" w:rsidSect="001A4C6C">
      <w:headerReference w:type="default" r:id="rId10"/>
      <w:pgSz w:w="11906" w:h="16838"/>
      <w:pgMar w:top="1134"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E2F" w:rsidRDefault="00663E2F">
      <w:r>
        <w:separator/>
      </w:r>
    </w:p>
  </w:endnote>
  <w:endnote w:type="continuationSeparator" w:id="0">
    <w:p w:rsidR="00663E2F" w:rsidRDefault="00663E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E2F" w:rsidRDefault="00663E2F">
      <w:r>
        <w:separator/>
      </w:r>
    </w:p>
  </w:footnote>
  <w:footnote w:type="continuationSeparator" w:id="0">
    <w:p w:rsidR="00663E2F" w:rsidRDefault="00663E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B1355B">
        <w:pPr>
          <w:pStyle w:val="a4"/>
          <w:jc w:val="center"/>
        </w:pPr>
        <w:fldSimple w:instr="PAGE   \* MERGEFORMAT">
          <w:r w:rsidR="00653A25">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61133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4E4"/>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A7FFE"/>
    <w:rsid w:val="003B1C8D"/>
    <w:rsid w:val="003B33F8"/>
    <w:rsid w:val="003B398F"/>
    <w:rsid w:val="003B45E1"/>
    <w:rsid w:val="003B6815"/>
    <w:rsid w:val="003B68BC"/>
    <w:rsid w:val="003B6AB2"/>
    <w:rsid w:val="003B732A"/>
    <w:rsid w:val="003C0EEF"/>
    <w:rsid w:val="003C618E"/>
    <w:rsid w:val="003D01DE"/>
    <w:rsid w:val="003D31CA"/>
    <w:rsid w:val="003D3346"/>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203"/>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1D3A"/>
    <w:rsid w:val="004F3261"/>
    <w:rsid w:val="00501F2E"/>
    <w:rsid w:val="0050229C"/>
    <w:rsid w:val="00505294"/>
    <w:rsid w:val="00505DC5"/>
    <w:rsid w:val="00506547"/>
    <w:rsid w:val="005109E4"/>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25"/>
    <w:rsid w:val="00653A52"/>
    <w:rsid w:val="00660380"/>
    <w:rsid w:val="006615A0"/>
    <w:rsid w:val="0066380A"/>
    <w:rsid w:val="00663E2F"/>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0609"/>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33C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355B"/>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49A"/>
    <w:rsid w:val="00B65845"/>
    <w:rsid w:val="00B66923"/>
    <w:rsid w:val="00B7165E"/>
    <w:rsid w:val="00B716D7"/>
    <w:rsid w:val="00B86C0A"/>
    <w:rsid w:val="00B87595"/>
    <w:rsid w:val="00B92159"/>
    <w:rsid w:val="00B9430A"/>
    <w:rsid w:val="00B947A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1321"/>
    <w:rsid w:val="00C0312C"/>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5F6A"/>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54"/>
    <w:rsid w:val="00CA7790"/>
    <w:rsid w:val="00CB714C"/>
    <w:rsid w:val="00CC01B1"/>
    <w:rsid w:val="00CC0F9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1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23343473">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bovaEM@NVraion.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ulation.admhma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979B2-43CE-4251-9A82-DF256596C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4</cp:revision>
  <cp:lastPrinted>2015-06-16T06:13:00Z</cp:lastPrinted>
  <dcterms:created xsi:type="dcterms:W3CDTF">2018-07-06T10:29:00Z</dcterms:created>
  <dcterms:modified xsi:type="dcterms:W3CDTF">2019-05-29T07:05:00Z</dcterms:modified>
</cp:coreProperties>
</file>