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F2" w:rsidRPr="00D64ABA" w:rsidRDefault="0073106E" w:rsidP="00F3578E">
      <w:pPr>
        <w:widowControl w:val="0"/>
        <w:autoSpaceDE w:val="0"/>
        <w:autoSpaceDN w:val="0"/>
        <w:adjustRightInd w:val="0"/>
        <w:ind w:left="-720"/>
        <w:jc w:val="center"/>
        <w:rPr>
          <w:b/>
          <w:bCs/>
          <w:sz w:val="32"/>
          <w:szCs w:val="32"/>
        </w:rPr>
      </w:pPr>
      <w:r w:rsidRPr="00D64ABA">
        <w:rPr>
          <w:b/>
          <w:bCs/>
          <w:sz w:val="32"/>
          <w:szCs w:val="32"/>
        </w:rPr>
        <w:t>И</w:t>
      </w:r>
      <w:r w:rsidR="001A7860" w:rsidRPr="00D64ABA">
        <w:rPr>
          <w:b/>
          <w:bCs/>
          <w:sz w:val="32"/>
          <w:szCs w:val="32"/>
        </w:rPr>
        <w:t>нформаци</w:t>
      </w:r>
      <w:r w:rsidRPr="00D64ABA">
        <w:rPr>
          <w:b/>
          <w:bCs/>
          <w:sz w:val="32"/>
          <w:szCs w:val="32"/>
        </w:rPr>
        <w:t xml:space="preserve">я </w:t>
      </w:r>
      <w:r w:rsidR="001A7860" w:rsidRPr="00D64ABA">
        <w:rPr>
          <w:b/>
          <w:bCs/>
          <w:sz w:val="32"/>
          <w:szCs w:val="32"/>
        </w:rPr>
        <w:t xml:space="preserve"> о практике достижения наилучш</w:t>
      </w:r>
      <w:r w:rsidRPr="00D64ABA">
        <w:rPr>
          <w:b/>
          <w:bCs/>
          <w:sz w:val="32"/>
          <w:szCs w:val="32"/>
        </w:rPr>
        <w:t>их</w:t>
      </w:r>
    </w:p>
    <w:p w:rsidR="0073106E" w:rsidRPr="00D64ABA" w:rsidRDefault="001A7860" w:rsidP="00F3578E">
      <w:pPr>
        <w:widowControl w:val="0"/>
        <w:autoSpaceDE w:val="0"/>
        <w:autoSpaceDN w:val="0"/>
        <w:adjustRightInd w:val="0"/>
        <w:ind w:left="-720"/>
        <w:jc w:val="center"/>
        <w:rPr>
          <w:b/>
          <w:bCs/>
          <w:sz w:val="32"/>
          <w:szCs w:val="32"/>
        </w:rPr>
      </w:pPr>
      <w:r w:rsidRPr="00D64ABA">
        <w:rPr>
          <w:b/>
          <w:bCs/>
          <w:sz w:val="32"/>
          <w:szCs w:val="32"/>
        </w:rPr>
        <w:t>значени</w:t>
      </w:r>
      <w:r w:rsidR="0073106E" w:rsidRPr="00D64ABA">
        <w:rPr>
          <w:b/>
          <w:bCs/>
          <w:sz w:val="32"/>
          <w:szCs w:val="32"/>
        </w:rPr>
        <w:t>й</w:t>
      </w:r>
      <w:r w:rsidRPr="00D64ABA">
        <w:rPr>
          <w:b/>
          <w:bCs/>
          <w:sz w:val="32"/>
          <w:szCs w:val="32"/>
        </w:rPr>
        <w:t xml:space="preserve"> показател</w:t>
      </w:r>
      <w:r w:rsidR="0073106E" w:rsidRPr="00D64ABA">
        <w:rPr>
          <w:b/>
          <w:bCs/>
          <w:sz w:val="32"/>
          <w:szCs w:val="32"/>
        </w:rPr>
        <w:t>ей</w:t>
      </w:r>
      <w:r w:rsidR="006233BA" w:rsidRPr="00D64ABA">
        <w:rPr>
          <w:b/>
          <w:bCs/>
          <w:sz w:val="32"/>
          <w:szCs w:val="32"/>
        </w:rPr>
        <w:t xml:space="preserve"> </w:t>
      </w:r>
      <w:r w:rsidRPr="00D64ABA">
        <w:rPr>
          <w:b/>
          <w:bCs/>
          <w:sz w:val="32"/>
          <w:szCs w:val="32"/>
        </w:rPr>
        <w:t>за 201</w:t>
      </w:r>
      <w:r w:rsidR="0099332F" w:rsidRPr="00D64ABA">
        <w:rPr>
          <w:b/>
          <w:bCs/>
          <w:sz w:val="32"/>
          <w:szCs w:val="32"/>
        </w:rPr>
        <w:t>6</w:t>
      </w:r>
      <w:r w:rsidRPr="00D64ABA">
        <w:rPr>
          <w:b/>
          <w:bCs/>
          <w:sz w:val="32"/>
          <w:szCs w:val="32"/>
        </w:rPr>
        <w:t xml:space="preserve"> год</w:t>
      </w:r>
    </w:p>
    <w:p w:rsidR="009E2072" w:rsidRPr="00D64ABA" w:rsidRDefault="009E2072" w:rsidP="00F3578E">
      <w:pPr>
        <w:widowControl w:val="0"/>
        <w:autoSpaceDE w:val="0"/>
        <w:autoSpaceDN w:val="0"/>
        <w:adjustRightInd w:val="0"/>
        <w:ind w:left="-720" w:firstLine="709"/>
        <w:jc w:val="center"/>
        <w:rPr>
          <w:bCs/>
          <w:sz w:val="28"/>
          <w:szCs w:val="28"/>
        </w:rPr>
      </w:pPr>
    </w:p>
    <w:p w:rsidR="00D801C5" w:rsidRPr="00D64ABA" w:rsidRDefault="00D801C5" w:rsidP="00F3578E">
      <w:pPr>
        <w:widowControl w:val="0"/>
        <w:autoSpaceDE w:val="0"/>
        <w:autoSpaceDN w:val="0"/>
        <w:adjustRightInd w:val="0"/>
        <w:ind w:left="-720"/>
        <w:jc w:val="center"/>
        <w:outlineLvl w:val="1"/>
        <w:rPr>
          <w:b/>
          <w:i/>
          <w:sz w:val="28"/>
          <w:szCs w:val="28"/>
        </w:rPr>
      </w:pPr>
      <w:r w:rsidRPr="00D64ABA">
        <w:rPr>
          <w:b/>
          <w:i/>
          <w:sz w:val="28"/>
          <w:szCs w:val="28"/>
        </w:rPr>
        <w:t>Показатель «Объем инвестиций в основной капитал (за исключением</w:t>
      </w:r>
    </w:p>
    <w:p w:rsidR="00D801C5" w:rsidRPr="00D64ABA" w:rsidRDefault="00D801C5" w:rsidP="00F3578E">
      <w:pPr>
        <w:widowControl w:val="0"/>
        <w:autoSpaceDE w:val="0"/>
        <w:autoSpaceDN w:val="0"/>
        <w:adjustRightInd w:val="0"/>
        <w:ind w:left="-720"/>
        <w:jc w:val="center"/>
        <w:rPr>
          <w:b/>
          <w:i/>
          <w:sz w:val="28"/>
          <w:szCs w:val="28"/>
        </w:rPr>
      </w:pPr>
      <w:r w:rsidRPr="00D64ABA">
        <w:rPr>
          <w:b/>
          <w:i/>
          <w:sz w:val="28"/>
          <w:szCs w:val="28"/>
        </w:rPr>
        <w:t>бюджетных средств) в расчете на одного жителя»</w:t>
      </w:r>
    </w:p>
    <w:p w:rsidR="00C07509" w:rsidRPr="00D64ABA" w:rsidRDefault="00C07509" w:rsidP="00F3578E">
      <w:pPr>
        <w:widowControl w:val="0"/>
        <w:autoSpaceDE w:val="0"/>
        <w:autoSpaceDN w:val="0"/>
        <w:adjustRightInd w:val="0"/>
        <w:ind w:left="-720"/>
        <w:jc w:val="center"/>
        <w:rPr>
          <w:b/>
          <w:i/>
          <w:sz w:val="28"/>
          <w:szCs w:val="28"/>
        </w:rPr>
      </w:pPr>
    </w:p>
    <w:p w:rsidR="00D801C5" w:rsidRPr="00D64ABA" w:rsidRDefault="00D801C5" w:rsidP="00F3578E">
      <w:pPr>
        <w:shd w:val="clear" w:color="auto" w:fill="FFFFFF"/>
        <w:ind w:left="-720" w:firstLine="709"/>
        <w:jc w:val="both"/>
        <w:rPr>
          <w:sz w:val="28"/>
          <w:szCs w:val="28"/>
        </w:rPr>
      </w:pPr>
      <w:r w:rsidRPr="00D64ABA">
        <w:rPr>
          <w:sz w:val="28"/>
          <w:szCs w:val="28"/>
        </w:rPr>
        <w:t>Объем инвестиций в основной капитал (за исключением бюджетных средств) в расчете на одного жителя в 201</w:t>
      </w:r>
      <w:r w:rsidR="0099332F" w:rsidRPr="00D64ABA">
        <w:rPr>
          <w:sz w:val="28"/>
          <w:szCs w:val="28"/>
        </w:rPr>
        <w:t>6</w:t>
      </w:r>
      <w:r w:rsidRPr="00D64ABA">
        <w:rPr>
          <w:sz w:val="28"/>
          <w:szCs w:val="28"/>
        </w:rPr>
        <w:t xml:space="preserve"> году составил  2 </w:t>
      </w:r>
      <w:r w:rsidR="0099332F" w:rsidRPr="00D64ABA">
        <w:rPr>
          <w:sz w:val="28"/>
          <w:szCs w:val="28"/>
        </w:rPr>
        <w:t>9</w:t>
      </w:r>
      <w:r w:rsidRPr="00D64ABA">
        <w:rPr>
          <w:sz w:val="28"/>
          <w:szCs w:val="28"/>
        </w:rPr>
        <w:t xml:space="preserve">19 </w:t>
      </w:r>
      <w:r w:rsidR="0099332F" w:rsidRPr="00D64ABA">
        <w:rPr>
          <w:sz w:val="28"/>
          <w:szCs w:val="28"/>
        </w:rPr>
        <w:t>762</w:t>
      </w:r>
      <w:r w:rsidRPr="00D64ABA">
        <w:rPr>
          <w:sz w:val="28"/>
          <w:szCs w:val="28"/>
        </w:rPr>
        <w:t>,0 руб. (201</w:t>
      </w:r>
      <w:r w:rsidR="0099332F" w:rsidRPr="00D64ABA">
        <w:rPr>
          <w:sz w:val="28"/>
          <w:szCs w:val="28"/>
        </w:rPr>
        <w:t>5</w:t>
      </w:r>
      <w:r w:rsidRPr="00D64ABA">
        <w:rPr>
          <w:sz w:val="28"/>
          <w:szCs w:val="28"/>
        </w:rPr>
        <w:t xml:space="preserve"> год </w:t>
      </w:r>
      <w:r w:rsidR="0099332F" w:rsidRPr="00D64ABA">
        <w:rPr>
          <w:sz w:val="28"/>
          <w:szCs w:val="28"/>
        </w:rPr>
        <w:t>–</w:t>
      </w:r>
      <w:r w:rsidRPr="00D64ABA">
        <w:rPr>
          <w:sz w:val="28"/>
          <w:szCs w:val="28"/>
        </w:rPr>
        <w:t xml:space="preserve"> </w:t>
      </w:r>
      <w:r w:rsidR="0099332F" w:rsidRPr="00D64ABA">
        <w:rPr>
          <w:sz w:val="28"/>
          <w:szCs w:val="28"/>
        </w:rPr>
        <w:t>2 604 432</w:t>
      </w:r>
      <w:r w:rsidRPr="00D64ABA">
        <w:rPr>
          <w:sz w:val="28"/>
          <w:szCs w:val="28"/>
        </w:rPr>
        <w:t>,0 руб.).</w:t>
      </w:r>
    </w:p>
    <w:p w:rsidR="00D801C5" w:rsidRPr="00D64ABA" w:rsidRDefault="00D801C5" w:rsidP="00F3578E">
      <w:pPr>
        <w:ind w:left="-720" w:firstLine="709"/>
        <w:jc w:val="both"/>
        <w:rPr>
          <w:sz w:val="28"/>
          <w:szCs w:val="28"/>
        </w:rPr>
      </w:pPr>
      <w:r w:rsidRPr="00D64ABA">
        <w:rPr>
          <w:sz w:val="28"/>
          <w:szCs w:val="28"/>
        </w:rPr>
        <w:t xml:space="preserve">В общем объеме инвестиций  - </w:t>
      </w:r>
      <w:r w:rsidR="00B07449" w:rsidRPr="00D64ABA">
        <w:rPr>
          <w:sz w:val="28"/>
          <w:szCs w:val="28"/>
        </w:rPr>
        <w:t>98,1</w:t>
      </w:r>
      <w:r w:rsidRPr="00D64ABA">
        <w:rPr>
          <w:sz w:val="28"/>
          <w:szCs w:val="28"/>
        </w:rPr>
        <w:t xml:space="preserve"> % осуществлены за счет собственных средств организаций.</w:t>
      </w:r>
    </w:p>
    <w:p w:rsidR="00D801C5" w:rsidRPr="00D64ABA" w:rsidRDefault="00D801C5" w:rsidP="00F3578E">
      <w:pPr>
        <w:ind w:left="-720" w:firstLine="709"/>
        <w:jc w:val="both"/>
        <w:rPr>
          <w:sz w:val="28"/>
          <w:szCs w:val="28"/>
        </w:rPr>
      </w:pPr>
      <w:r w:rsidRPr="00D64ABA">
        <w:rPr>
          <w:rStyle w:val="a9"/>
          <w:b w:val="0"/>
          <w:sz w:val="28"/>
          <w:szCs w:val="28"/>
        </w:rPr>
        <w:t xml:space="preserve">Наибольший удельный вес в структуре инвестиций в разрезе видов экономической деятельности занимают инвестиции по виду экономической деятельности </w:t>
      </w:r>
      <w:r w:rsidR="00EE6697" w:rsidRPr="00D64ABA">
        <w:rPr>
          <w:sz w:val="28"/>
          <w:szCs w:val="28"/>
        </w:rPr>
        <w:t>«Добыча полезных ископаемых</w:t>
      </w:r>
      <w:r w:rsidRPr="00D64ABA">
        <w:rPr>
          <w:sz w:val="28"/>
          <w:szCs w:val="28"/>
        </w:rPr>
        <w:t xml:space="preserve">» – </w:t>
      </w:r>
      <w:r w:rsidR="00EE6697" w:rsidRPr="00D64ABA">
        <w:rPr>
          <w:sz w:val="28"/>
          <w:szCs w:val="28"/>
        </w:rPr>
        <w:t>98,5</w:t>
      </w:r>
      <w:r w:rsidRPr="00D64ABA">
        <w:rPr>
          <w:sz w:val="28"/>
          <w:szCs w:val="28"/>
        </w:rPr>
        <w:t xml:space="preserve"> %. Инвестиционные программы данной отрасли направлены на развитие и модернизацию производственных мощностей. </w:t>
      </w:r>
    </w:p>
    <w:p w:rsidR="00F94900" w:rsidRPr="00D64ABA" w:rsidRDefault="00D801C5" w:rsidP="00F3578E">
      <w:pPr>
        <w:ind w:left="-720" w:firstLine="709"/>
        <w:jc w:val="both"/>
        <w:rPr>
          <w:sz w:val="28"/>
          <w:szCs w:val="28"/>
        </w:rPr>
      </w:pPr>
      <w:r w:rsidRPr="00D64ABA">
        <w:rPr>
          <w:sz w:val="28"/>
          <w:szCs w:val="28"/>
        </w:rPr>
        <w:t>На достигнутый уровень инвестиционной привлекательности района и ожидаемую  положительную динамику планового периода оказывает влияние активная инвестиционная политика нефтегазодобывающих предприятий, а также политика, проводимой органами местного самоуправления района по обеспечению благоприятного инвестиционного климата.</w:t>
      </w:r>
      <w:r w:rsidR="00F94900" w:rsidRPr="00D64ABA">
        <w:rPr>
          <w:sz w:val="28"/>
          <w:szCs w:val="28"/>
        </w:rPr>
        <w:t xml:space="preserve"> </w:t>
      </w:r>
    </w:p>
    <w:p w:rsidR="00F94900" w:rsidRPr="00D64ABA" w:rsidRDefault="00F94900" w:rsidP="00F3578E">
      <w:pPr>
        <w:ind w:left="-720" w:firstLine="709"/>
        <w:jc w:val="both"/>
        <w:rPr>
          <w:sz w:val="28"/>
          <w:szCs w:val="28"/>
        </w:rPr>
      </w:pPr>
      <w:r w:rsidRPr="00D64ABA">
        <w:rPr>
          <w:sz w:val="28"/>
          <w:szCs w:val="28"/>
        </w:rPr>
        <w:t xml:space="preserve">Приоритетным направлением инвестиционной политики района является создание максимально комфортных условий для старта и введения бизнеса на территории района, формирование эффективного сопровождения проектов, в первую очередь для инвесторов обеспечена открытость информации об инвестиционном потенциале территории. </w:t>
      </w:r>
    </w:p>
    <w:p w:rsidR="00F94900" w:rsidRPr="00D64ABA" w:rsidRDefault="00F94900" w:rsidP="00F3578E">
      <w:pPr>
        <w:pStyle w:val="ae"/>
        <w:ind w:left="-720" w:firstLine="708"/>
        <w:jc w:val="both"/>
        <w:rPr>
          <w:rFonts w:ascii="Times New Roman" w:hAnsi="Times New Roman"/>
          <w:sz w:val="28"/>
          <w:szCs w:val="28"/>
        </w:rPr>
      </w:pPr>
      <w:r w:rsidRPr="00D64ABA">
        <w:rPr>
          <w:rFonts w:ascii="Times New Roman" w:hAnsi="Times New Roman"/>
          <w:sz w:val="28"/>
          <w:szCs w:val="28"/>
        </w:rPr>
        <w:t xml:space="preserve">С целью оперативного решения вопросов, возникающих у инвесторов на Инвестиционном портале района создан канал прямой связи - «Обращение по вопросам инвестиций», размещена информация об  инвестиционных проектах,  инвестиционных площадках. На официальном веб-сайте района размещено обращение главы района к инвесторам и  приглашение к сотрудничеству, в том числе через механизм муниципально-частного партнерства, представлен реестр объектов, планируемых к строительству на территории района.  </w:t>
      </w:r>
    </w:p>
    <w:p w:rsidR="00F94900" w:rsidRPr="00D64ABA" w:rsidRDefault="00F94900" w:rsidP="00F3578E">
      <w:pPr>
        <w:ind w:left="-720" w:firstLine="720"/>
        <w:jc w:val="both"/>
        <w:rPr>
          <w:bCs/>
          <w:sz w:val="28"/>
          <w:szCs w:val="28"/>
        </w:rPr>
      </w:pPr>
      <w:r w:rsidRPr="00D64ABA">
        <w:rPr>
          <w:sz w:val="28"/>
          <w:szCs w:val="28"/>
        </w:rPr>
        <w:t>С 2016 года администрацией реализована новая форма взаимодействия с бизнес сообществом района, осуществляется оценка регулирующего воздействия проектов и экспертиза муниципальных нормативных правовых актов района, в ходе которой проводятся публичные консультации с субъектами предпринимательской и инвестиционной деятельности, интересы которых могут быть затронуты. По итогам рейтинга муниципальных образований Ханты-Мансийского автономного округа – Югры по качеству проведения ОРВ и экспертизы за 2016 год Нижневаровский район занял 2 место.</w:t>
      </w:r>
    </w:p>
    <w:p w:rsidR="00F94900" w:rsidRPr="00D64ABA" w:rsidRDefault="00F94900" w:rsidP="00F3578E">
      <w:pPr>
        <w:ind w:left="-720" w:firstLine="720"/>
        <w:jc w:val="both"/>
        <w:rPr>
          <w:sz w:val="28"/>
          <w:szCs w:val="28"/>
        </w:rPr>
      </w:pPr>
      <w:bookmarkStart w:id="0" w:name="_Toc449537827"/>
      <w:r w:rsidRPr="00D64ABA">
        <w:rPr>
          <w:sz w:val="28"/>
          <w:szCs w:val="28"/>
        </w:rPr>
        <w:t xml:space="preserve">В районе функционирует Совет по инвестиционной политике Нижневартовского района. Разработан инвестиционный паспорт Нижневартовского района, который является своеобразным путеводителем для деловых людей, потенциальных инвесторов, желающих установить экономические связи с районом. </w:t>
      </w:r>
      <w:bookmarkStart w:id="1" w:name="_Toc449537828"/>
      <w:bookmarkEnd w:id="0"/>
    </w:p>
    <w:bookmarkEnd w:id="1"/>
    <w:p w:rsidR="00D801C5" w:rsidRPr="00D64ABA" w:rsidRDefault="00D801C5" w:rsidP="00F3578E">
      <w:pPr>
        <w:ind w:left="-720" w:firstLine="708"/>
        <w:jc w:val="both"/>
        <w:rPr>
          <w:bCs/>
          <w:iCs/>
          <w:sz w:val="28"/>
          <w:szCs w:val="28"/>
        </w:rPr>
      </w:pPr>
    </w:p>
    <w:p w:rsidR="00C0185A" w:rsidRPr="00D64ABA" w:rsidRDefault="00C0185A" w:rsidP="00F3578E">
      <w:pPr>
        <w:ind w:left="-720" w:firstLine="567"/>
        <w:jc w:val="center"/>
        <w:rPr>
          <w:b/>
          <w:i/>
          <w:color w:val="000000"/>
          <w:sz w:val="28"/>
          <w:szCs w:val="28"/>
        </w:rPr>
      </w:pPr>
      <w:r w:rsidRPr="00D64ABA">
        <w:rPr>
          <w:b/>
          <w:i/>
          <w:sz w:val="28"/>
          <w:szCs w:val="28"/>
        </w:rPr>
        <w:lastRenderedPageBreak/>
        <w:t>Показатель</w:t>
      </w:r>
      <w:r w:rsidRPr="00D64ABA">
        <w:rPr>
          <w:b/>
          <w:i/>
          <w:color w:val="000000"/>
          <w:sz w:val="20"/>
          <w:szCs w:val="20"/>
        </w:rPr>
        <w:t xml:space="preserve"> </w:t>
      </w:r>
      <w:r w:rsidRPr="00D64ABA">
        <w:rPr>
          <w:b/>
          <w:bCs/>
          <w:i/>
          <w:sz w:val="28"/>
          <w:szCs w:val="28"/>
        </w:rPr>
        <w:t>«</w:t>
      </w:r>
      <w:r w:rsidRPr="00D64ABA">
        <w:rPr>
          <w:b/>
          <w:i/>
          <w:color w:val="000000"/>
          <w:sz w:val="28"/>
          <w:szCs w:val="28"/>
        </w:rPr>
        <w:t xml:space="preserve">Доля детей в возрасте 1 - 6 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</w:t>
      </w:r>
    </w:p>
    <w:p w:rsidR="00C0185A" w:rsidRPr="00D64ABA" w:rsidRDefault="00C0185A" w:rsidP="00F3578E">
      <w:pPr>
        <w:ind w:left="-720" w:firstLine="567"/>
        <w:jc w:val="center"/>
        <w:rPr>
          <w:b/>
          <w:bCs/>
          <w:i/>
          <w:sz w:val="28"/>
          <w:szCs w:val="28"/>
        </w:rPr>
      </w:pPr>
      <w:r w:rsidRPr="00D64ABA">
        <w:rPr>
          <w:b/>
          <w:i/>
          <w:color w:val="000000"/>
          <w:sz w:val="28"/>
          <w:szCs w:val="28"/>
        </w:rPr>
        <w:t>1 - 6 лет»</w:t>
      </w:r>
    </w:p>
    <w:p w:rsidR="00C0185A" w:rsidRPr="00D64ABA" w:rsidRDefault="00C0185A" w:rsidP="00F3578E">
      <w:pPr>
        <w:ind w:left="-720" w:firstLine="540"/>
        <w:jc w:val="both"/>
        <w:rPr>
          <w:sz w:val="28"/>
          <w:szCs w:val="28"/>
        </w:rPr>
      </w:pPr>
      <w:r w:rsidRPr="00D64ABA">
        <w:rPr>
          <w:color w:val="000000"/>
          <w:sz w:val="28"/>
          <w:szCs w:val="28"/>
        </w:rPr>
        <w:t xml:space="preserve">Доля детей в возрасте 1 - 6 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1 - 6 лет составляет </w:t>
      </w:r>
      <w:r w:rsidRPr="00D64ABA">
        <w:rPr>
          <w:sz w:val="28"/>
          <w:szCs w:val="28"/>
        </w:rPr>
        <w:t xml:space="preserve"> </w:t>
      </w:r>
      <w:r w:rsidR="00C07509" w:rsidRPr="00D64ABA">
        <w:rPr>
          <w:sz w:val="28"/>
          <w:szCs w:val="28"/>
        </w:rPr>
        <w:t>81,5</w:t>
      </w:r>
      <w:r w:rsidRPr="00D64ABA">
        <w:rPr>
          <w:sz w:val="28"/>
          <w:szCs w:val="28"/>
        </w:rPr>
        <w:t>%  (201</w:t>
      </w:r>
      <w:r w:rsidR="00F3578E" w:rsidRPr="00D64ABA">
        <w:rPr>
          <w:sz w:val="28"/>
          <w:szCs w:val="28"/>
        </w:rPr>
        <w:t>5</w:t>
      </w:r>
      <w:r w:rsidRPr="00D64ABA">
        <w:rPr>
          <w:sz w:val="28"/>
          <w:szCs w:val="28"/>
        </w:rPr>
        <w:t xml:space="preserve"> год – </w:t>
      </w:r>
      <w:r w:rsidR="00C07509" w:rsidRPr="00D64ABA">
        <w:rPr>
          <w:sz w:val="28"/>
          <w:szCs w:val="28"/>
        </w:rPr>
        <w:t>77,4</w:t>
      </w:r>
      <w:r w:rsidRPr="00D64ABA">
        <w:rPr>
          <w:sz w:val="28"/>
          <w:szCs w:val="28"/>
        </w:rPr>
        <w:t xml:space="preserve">%). </w:t>
      </w:r>
    </w:p>
    <w:p w:rsidR="00FB6187" w:rsidRPr="00D64ABA" w:rsidRDefault="00FB6187" w:rsidP="00FB6187">
      <w:pPr>
        <w:ind w:left="-720" w:firstLine="709"/>
        <w:jc w:val="both"/>
        <w:rPr>
          <w:sz w:val="28"/>
          <w:szCs w:val="28"/>
        </w:rPr>
      </w:pPr>
      <w:r w:rsidRPr="00D64ABA">
        <w:rPr>
          <w:sz w:val="28"/>
          <w:szCs w:val="28"/>
        </w:rPr>
        <w:t>Увеличение доли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лет, обеспечено  за счет функционирования 17 групп кратковременного пребывания с охватом 300 человек.</w:t>
      </w:r>
    </w:p>
    <w:p w:rsidR="00C0185A" w:rsidRPr="00D64ABA" w:rsidRDefault="00C0185A" w:rsidP="00FB6187">
      <w:pPr>
        <w:ind w:left="-720"/>
        <w:jc w:val="both"/>
        <w:rPr>
          <w:b/>
          <w:i/>
          <w:sz w:val="28"/>
          <w:szCs w:val="28"/>
        </w:rPr>
      </w:pPr>
    </w:p>
    <w:p w:rsidR="00D801C5" w:rsidRPr="00D64ABA" w:rsidRDefault="00D801C5" w:rsidP="00F3578E">
      <w:pPr>
        <w:widowControl w:val="0"/>
        <w:autoSpaceDE w:val="0"/>
        <w:autoSpaceDN w:val="0"/>
        <w:adjustRightInd w:val="0"/>
        <w:ind w:left="-720"/>
        <w:jc w:val="center"/>
        <w:outlineLvl w:val="1"/>
        <w:rPr>
          <w:b/>
          <w:i/>
          <w:sz w:val="28"/>
          <w:szCs w:val="28"/>
        </w:rPr>
      </w:pPr>
      <w:r w:rsidRPr="00D64ABA">
        <w:rPr>
          <w:b/>
          <w:i/>
          <w:sz w:val="28"/>
          <w:szCs w:val="28"/>
        </w:rPr>
        <w:t>Показатель «Доля детей в возрасте 1 - 6 лет, состоящих на учете</w:t>
      </w:r>
    </w:p>
    <w:p w:rsidR="00D801C5" w:rsidRPr="00D64ABA" w:rsidRDefault="00D801C5" w:rsidP="00F3578E">
      <w:pPr>
        <w:widowControl w:val="0"/>
        <w:autoSpaceDE w:val="0"/>
        <w:autoSpaceDN w:val="0"/>
        <w:adjustRightInd w:val="0"/>
        <w:ind w:left="-720"/>
        <w:jc w:val="center"/>
        <w:rPr>
          <w:b/>
          <w:i/>
          <w:sz w:val="28"/>
          <w:szCs w:val="28"/>
        </w:rPr>
      </w:pPr>
      <w:r w:rsidRPr="00D64ABA">
        <w:rPr>
          <w:b/>
          <w:i/>
          <w:sz w:val="28"/>
          <w:szCs w:val="28"/>
        </w:rPr>
        <w:t>для определения в муниципальные дошкольные образовательные</w:t>
      </w:r>
    </w:p>
    <w:p w:rsidR="00D801C5" w:rsidRPr="00D64ABA" w:rsidRDefault="00D801C5" w:rsidP="00F3578E">
      <w:pPr>
        <w:widowControl w:val="0"/>
        <w:autoSpaceDE w:val="0"/>
        <w:autoSpaceDN w:val="0"/>
        <w:adjustRightInd w:val="0"/>
        <w:ind w:left="-720"/>
        <w:jc w:val="center"/>
        <w:rPr>
          <w:rFonts w:ascii="Calibri" w:hAnsi="Calibri" w:cs="Calibri"/>
        </w:rPr>
      </w:pPr>
      <w:r w:rsidRPr="00D64ABA">
        <w:rPr>
          <w:b/>
          <w:i/>
          <w:sz w:val="28"/>
          <w:szCs w:val="28"/>
        </w:rPr>
        <w:t>учреждения, в общей численности детей в возрасте 1 - 6 лет»</w:t>
      </w:r>
      <w:r w:rsidR="00262881" w:rsidRPr="00D64ABA">
        <w:rPr>
          <w:rFonts w:ascii="Calibri" w:hAnsi="Calibri" w:cs="Calibri"/>
        </w:rPr>
        <w:t xml:space="preserve"> </w:t>
      </w:r>
    </w:p>
    <w:p w:rsidR="00D801C5" w:rsidRPr="00D64ABA" w:rsidRDefault="00D801C5" w:rsidP="00F3578E">
      <w:pPr>
        <w:shd w:val="clear" w:color="auto" w:fill="FFFFFF"/>
        <w:ind w:left="-720" w:firstLine="709"/>
        <w:jc w:val="both"/>
        <w:rPr>
          <w:sz w:val="28"/>
          <w:szCs w:val="28"/>
        </w:rPr>
      </w:pPr>
      <w:r w:rsidRPr="00D64ABA">
        <w:rPr>
          <w:sz w:val="28"/>
          <w:szCs w:val="28"/>
        </w:rPr>
        <w:t>Доля детей в возрасте 1 - 6 лет, состоящих на учете для определения в муниципальные дошкольные образовательные учреждения, в общей численности детей в возрасте 1 - 6 лет за 201</w:t>
      </w:r>
      <w:r w:rsidR="00C07509" w:rsidRPr="00D64ABA">
        <w:rPr>
          <w:sz w:val="28"/>
          <w:szCs w:val="28"/>
        </w:rPr>
        <w:t>6</w:t>
      </w:r>
      <w:r w:rsidRPr="00D64ABA">
        <w:rPr>
          <w:sz w:val="28"/>
          <w:szCs w:val="28"/>
        </w:rPr>
        <w:t xml:space="preserve"> год составила 0 % (201</w:t>
      </w:r>
      <w:r w:rsidR="00C07509" w:rsidRPr="00D64ABA">
        <w:rPr>
          <w:sz w:val="28"/>
          <w:szCs w:val="28"/>
        </w:rPr>
        <w:t>5</w:t>
      </w:r>
      <w:r w:rsidRPr="00D64ABA">
        <w:rPr>
          <w:sz w:val="28"/>
          <w:szCs w:val="28"/>
        </w:rPr>
        <w:t xml:space="preserve"> год – </w:t>
      </w:r>
      <w:r w:rsidR="00C07509" w:rsidRPr="00D64ABA">
        <w:rPr>
          <w:sz w:val="28"/>
          <w:szCs w:val="28"/>
        </w:rPr>
        <w:t>0</w:t>
      </w:r>
      <w:r w:rsidRPr="00D64ABA">
        <w:rPr>
          <w:sz w:val="28"/>
          <w:szCs w:val="28"/>
        </w:rPr>
        <w:t>%).</w:t>
      </w:r>
    </w:p>
    <w:p w:rsidR="00303547" w:rsidRPr="00D64ABA" w:rsidRDefault="00303547" w:rsidP="00303547">
      <w:pPr>
        <w:ind w:left="-720" w:firstLine="709"/>
        <w:jc w:val="both"/>
        <w:rPr>
          <w:sz w:val="28"/>
          <w:szCs w:val="28"/>
        </w:rPr>
      </w:pPr>
      <w:r w:rsidRPr="00D64ABA">
        <w:rPr>
          <w:sz w:val="28"/>
          <w:szCs w:val="28"/>
        </w:rPr>
        <w:t>Детей, нуждающихся, но не обеспеченных местами в дошкольных образовательных учреждениях, нет.</w:t>
      </w:r>
    </w:p>
    <w:p w:rsidR="00FB6187" w:rsidRPr="00D64ABA" w:rsidRDefault="00C07509" w:rsidP="00303547">
      <w:pPr>
        <w:ind w:left="-720" w:firstLine="567"/>
        <w:jc w:val="both"/>
      </w:pPr>
      <w:r w:rsidRPr="00D64ABA">
        <w:rPr>
          <w:color w:val="000000"/>
          <w:sz w:val="20"/>
          <w:szCs w:val="20"/>
        </w:rPr>
        <w:br/>
      </w:r>
    </w:p>
    <w:p w:rsidR="00262881" w:rsidRPr="00D64ABA" w:rsidRDefault="00D801C5" w:rsidP="00F3578E">
      <w:pPr>
        <w:ind w:left="-720" w:firstLine="567"/>
        <w:jc w:val="center"/>
        <w:rPr>
          <w:b/>
          <w:i/>
          <w:color w:val="000000"/>
          <w:sz w:val="28"/>
          <w:szCs w:val="28"/>
        </w:rPr>
      </w:pPr>
      <w:r w:rsidRPr="00D64ABA">
        <w:rPr>
          <w:b/>
          <w:i/>
          <w:sz w:val="28"/>
          <w:szCs w:val="28"/>
        </w:rPr>
        <w:t>Показатель</w:t>
      </w:r>
      <w:r w:rsidRPr="00D64ABA">
        <w:rPr>
          <w:b/>
          <w:i/>
          <w:color w:val="000000"/>
          <w:sz w:val="20"/>
          <w:szCs w:val="20"/>
        </w:rPr>
        <w:t xml:space="preserve"> </w:t>
      </w:r>
      <w:r w:rsidRPr="00D64ABA">
        <w:rPr>
          <w:b/>
          <w:i/>
          <w:color w:val="000000"/>
          <w:sz w:val="28"/>
          <w:szCs w:val="28"/>
        </w:rPr>
        <w:t>«Доля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учреждениях»</w:t>
      </w:r>
    </w:p>
    <w:p w:rsidR="00D801C5" w:rsidRPr="00D64ABA" w:rsidRDefault="00D801C5" w:rsidP="00F3578E">
      <w:pPr>
        <w:ind w:left="-720" w:firstLine="720"/>
        <w:jc w:val="both"/>
        <w:rPr>
          <w:color w:val="000000"/>
          <w:sz w:val="28"/>
          <w:szCs w:val="28"/>
        </w:rPr>
      </w:pPr>
      <w:r w:rsidRPr="00D64ABA">
        <w:rPr>
          <w:color w:val="000000"/>
          <w:sz w:val="28"/>
          <w:szCs w:val="28"/>
        </w:rPr>
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учреждениях» составляет 0% (201</w:t>
      </w:r>
      <w:r w:rsidR="00C07509" w:rsidRPr="00D64ABA">
        <w:rPr>
          <w:color w:val="000000"/>
          <w:sz w:val="28"/>
          <w:szCs w:val="28"/>
        </w:rPr>
        <w:t>5</w:t>
      </w:r>
      <w:r w:rsidRPr="00D64ABA">
        <w:rPr>
          <w:color w:val="000000"/>
          <w:sz w:val="28"/>
          <w:szCs w:val="28"/>
        </w:rPr>
        <w:t xml:space="preserve"> год – 0%). </w:t>
      </w:r>
    </w:p>
    <w:p w:rsidR="00D801C5" w:rsidRPr="00D64ABA" w:rsidRDefault="00D801C5" w:rsidP="00F3578E">
      <w:pPr>
        <w:ind w:left="-720" w:firstLine="720"/>
        <w:jc w:val="both"/>
        <w:rPr>
          <w:color w:val="000000"/>
          <w:sz w:val="28"/>
          <w:szCs w:val="28"/>
        </w:rPr>
      </w:pPr>
      <w:r w:rsidRPr="00D64ABA">
        <w:rPr>
          <w:color w:val="000000"/>
          <w:sz w:val="28"/>
          <w:szCs w:val="28"/>
        </w:rPr>
        <w:t xml:space="preserve">В связи с вводом в эксплуатацию нового здания МБОУ "Новоаганская ОСШ №2" с 2014 года  100% обучающихся в муниципальных общеобразовательных учреждениях района занимаются в первую смену. </w:t>
      </w:r>
    </w:p>
    <w:p w:rsidR="00D801C5" w:rsidRPr="00D64ABA" w:rsidRDefault="00D801C5" w:rsidP="00F3578E">
      <w:pPr>
        <w:ind w:left="-720" w:firstLine="567"/>
        <w:jc w:val="both"/>
        <w:rPr>
          <w:b/>
          <w:i/>
          <w:color w:val="000000"/>
          <w:sz w:val="28"/>
          <w:szCs w:val="28"/>
        </w:rPr>
      </w:pPr>
    </w:p>
    <w:p w:rsidR="00262881" w:rsidRPr="00D64ABA" w:rsidRDefault="00C0185A" w:rsidP="00F3578E">
      <w:pPr>
        <w:ind w:left="-720"/>
        <w:jc w:val="center"/>
        <w:rPr>
          <w:b/>
          <w:i/>
          <w:color w:val="000000"/>
          <w:sz w:val="28"/>
          <w:szCs w:val="28"/>
        </w:rPr>
      </w:pPr>
      <w:bookmarkStart w:id="2" w:name="_Toc449538224"/>
      <w:r w:rsidRPr="00D64ABA">
        <w:rPr>
          <w:b/>
          <w:i/>
          <w:sz w:val="28"/>
          <w:szCs w:val="28"/>
        </w:rPr>
        <w:t>Показатель</w:t>
      </w:r>
      <w:r w:rsidRPr="00D64ABA">
        <w:rPr>
          <w:b/>
          <w:i/>
          <w:color w:val="000000"/>
          <w:sz w:val="20"/>
          <w:szCs w:val="20"/>
        </w:rPr>
        <w:t xml:space="preserve"> </w:t>
      </w:r>
      <w:r w:rsidRPr="00D64ABA">
        <w:rPr>
          <w:b/>
          <w:i/>
          <w:color w:val="000000"/>
          <w:sz w:val="28"/>
          <w:szCs w:val="28"/>
        </w:rPr>
        <w:t>«Доля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</w:r>
      <w:bookmarkEnd w:id="2"/>
      <w:r w:rsidRPr="00D64ABA">
        <w:rPr>
          <w:b/>
          <w:i/>
          <w:color w:val="000000"/>
          <w:sz w:val="28"/>
          <w:szCs w:val="28"/>
        </w:rPr>
        <w:t>»</w:t>
      </w:r>
    </w:p>
    <w:p w:rsidR="00C0185A" w:rsidRPr="00D64ABA" w:rsidRDefault="00C0185A" w:rsidP="00F3578E">
      <w:pPr>
        <w:ind w:left="-720" w:firstLine="540"/>
        <w:jc w:val="both"/>
        <w:rPr>
          <w:color w:val="000000"/>
          <w:sz w:val="28"/>
          <w:szCs w:val="28"/>
        </w:rPr>
      </w:pPr>
      <w:r w:rsidRPr="00D64ABA">
        <w:rPr>
          <w:color w:val="000000"/>
          <w:sz w:val="28"/>
          <w:szCs w:val="28"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</w:r>
      <w:r w:rsidR="0052140A" w:rsidRPr="00D64ABA">
        <w:rPr>
          <w:color w:val="000000"/>
          <w:sz w:val="28"/>
          <w:szCs w:val="28"/>
        </w:rPr>
        <w:t>,</w:t>
      </w:r>
      <w:r w:rsidRPr="00D64ABA">
        <w:rPr>
          <w:color w:val="000000"/>
          <w:sz w:val="28"/>
          <w:szCs w:val="28"/>
        </w:rPr>
        <w:t xml:space="preserve"> составляет 0% (201</w:t>
      </w:r>
      <w:r w:rsidR="00283043" w:rsidRPr="00D64ABA">
        <w:rPr>
          <w:color w:val="000000"/>
          <w:sz w:val="28"/>
          <w:szCs w:val="28"/>
        </w:rPr>
        <w:t>5</w:t>
      </w:r>
      <w:r w:rsidRPr="00D64ABA">
        <w:rPr>
          <w:color w:val="000000"/>
          <w:sz w:val="28"/>
          <w:szCs w:val="28"/>
        </w:rPr>
        <w:t xml:space="preserve"> год – 0%). </w:t>
      </w:r>
    </w:p>
    <w:p w:rsidR="00C0185A" w:rsidRPr="00D64ABA" w:rsidRDefault="00C0185A" w:rsidP="00F3578E">
      <w:pPr>
        <w:ind w:left="-720" w:firstLine="540"/>
        <w:jc w:val="both"/>
        <w:rPr>
          <w:color w:val="000000"/>
          <w:sz w:val="28"/>
          <w:szCs w:val="28"/>
        </w:rPr>
      </w:pPr>
      <w:r w:rsidRPr="00D64ABA">
        <w:rPr>
          <w:color w:val="000000"/>
          <w:sz w:val="28"/>
          <w:szCs w:val="28"/>
        </w:rPr>
        <w:tab/>
        <w:t>Муниципальные дошкольные образовательные учреждения, здания которых находятся в аварийном состоянии или требуют капитального ремонта, отсутствуют.</w:t>
      </w:r>
    </w:p>
    <w:p w:rsidR="0052140A" w:rsidRPr="00D64ABA" w:rsidRDefault="0052140A" w:rsidP="00F3578E">
      <w:pPr>
        <w:ind w:left="-720"/>
        <w:jc w:val="both"/>
        <w:rPr>
          <w:color w:val="000000"/>
          <w:sz w:val="28"/>
          <w:szCs w:val="28"/>
        </w:rPr>
      </w:pPr>
    </w:p>
    <w:p w:rsidR="0052140A" w:rsidRPr="00D64ABA" w:rsidRDefault="0052140A" w:rsidP="00F3578E">
      <w:pPr>
        <w:ind w:left="-720" w:firstLine="567"/>
        <w:jc w:val="center"/>
        <w:rPr>
          <w:b/>
          <w:i/>
          <w:color w:val="000000"/>
          <w:sz w:val="28"/>
          <w:szCs w:val="28"/>
        </w:rPr>
      </w:pPr>
      <w:bookmarkStart w:id="3" w:name="_Toc449538281"/>
      <w:r w:rsidRPr="00D64ABA">
        <w:rPr>
          <w:b/>
          <w:i/>
          <w:sz w:val="28"/>
          <w:szCs w:val="28"/>
        </w:rPr>
        <w:lastRenderedPageBreak/>
        <w:t>Показатель</w:t>
      </w:r>
      <w:r w:rsidRPr="00D64ABA">
        <w:rPr>
          <w:b/>
          <w:i/>
          <w:color w:val="000000"/>
          <w:sz w:val="20"/>
          <w:szCs w:val="20"/>
        </w:rPr>
        <w:t xml:space="preserve"> </w:t>
      </w:r>
      <w:r w:rsidRPr="00D64ABA">
        <w:rPr>
          <w:b/>
          <w:i/>
          <w:color w:val="000000"/>
          <w:sz w:val="28"/>
          <w:szCs w:val="28"/>
        </w:rPr>
        <w:t>«Доля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</w:r>
      <w:bookmarkEnd w:id="3"/>
      <w:r w:rsidRPr="00D64ABA">
        <w:rPr>
          <w:b/>
          <w:i/>
          <w:color w:val="000000"/>
          <w:sz w:val="28"/>
          <w:szCs w:val="28"/>
        </w:rPr>
        <w:t>»</w:t>
      </w:r>
    </w:p>
    <w:p w:rsidR="00303547" w:rsidRPr="00D64ABA" w:rsidRDefault="0052140A" w:rsidP="00F3578E">
      <w:pPr>
        <w:ind w:left="-720" w:firstLine="540"/>
        <w:jc w:val="both"/>
        <w:rPr>
          <w:color w:val="000000"/>
          <w:sz w:val="28"/>
          <w:szCs w:val="28"/>
        </w:rPr>
      </w:pPr>
      <w:r w:rsidRPr="00D64ABA">
        <w:rPr>
          <w:color w:val="000000"/>
          <w:sz w:val="28"/>
          <w:szCs w:val="28"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учреждений, составляет 0% (201</w:t>
      </w:r>
      <w:r w:rsidR="006F26B7" w:rsidRPr="00D64ABA">
        <w:rPr>
          <w:color w:val="000000"/>
          <w:sz w:val="28"/>
          <w:szCs w:val="28"/>
        </w:rPr>
        <w:t>5</w:t>
      </w:r>
      <w:r w:rsidRPr="00D64ABA">
        <w:rPr>
          <w:color w:val="000000"/>
          <w:sz w:val="28"/>
          <w:szCs w:val="28"/>
        </w:rPr>
        <w:t xml:space="preserve"> – 0 %). </w:t>
      </w:r>
      <w:r w:rsidR="00E9625D" w:rsidRPr="00D64ABA">
        <w:rPr>
          <w:color w:val="000000"/>
          <w:sz w:val="28"/>
          <w:szCs w:val="28"/>
        </w:rPr>
        <w:t>С</w:t>
      </w:r>
      <w:r w:rsidRPr="00D64ABA">
        <w:rPr>
          <w:color w:val="000000"/>
          <w:sz w:val="28"/>
          <w:szCs w:val="28"/>
        </w:rPr>
        <w:t>табильн</w:t>
      </w:r>
      <w:r w:rsidR="00E9625D" w:rsidRPr="00D64ABA">
        <w:rPr>
          <w:color w:val="000000"/>
          <w:sz w:val="28"/>
          <w:szCs w:val="28"/>
        </w:rPr>
        <w:t>ость</w:t>
      </w:r>
      <w:r w:rsidRPr="00D64ABA">
        <w:rPr>
          <w:color w:val="000000"/>
          <w:sz w:val="28"/>
          <w:szCs w:val="28"/>
        </w:rPr>
        <w:t xml:space="preserve"> показателя </w:t>
      </w:r>
      <w:r w:rsidR="00E9625D" w:rsidRPr="00D64ABA">
        <w:rPr>
          <w:color w:val="000000"/>
          <w:sz w:val="28"/>
          <w:szCs w:val="28"/>
        </w:rPr>
        <w:t>сохраняется</w:t>
      </w:r>
      <w:r w:rsidRPr="00D64ABA">
        <w:rPr>
          <w:color w:val="000000"/>
          <w:sz w:val="28"/>
          <w:szCs w:val="28"/>
        </w:rPr>
        <w:t xml:space="preserve"> за счет повышения качества образования, работы с обучающимися по индивидуальным образовательным маршрутам.</w:t>
      </w:r>
    </w:p>
    <w:p w:rsidR="00283043" w:rsidRPr="00D64ABA" w:rsidRDefault="00283043" w:rsidP="00F3578E">
      <w:pPr>
        <w:ind w:left="-720" w:firstLine="540"/>
        <w:jc w:val="both"/>
        <w:rPr>
          <w:color w:val="000000"/>
          <w:sz w:val="28"/>
          <w:szCs w:val="28"/>
        </w:rPr>
      </w:pPr>
    </w:p>
    <w:p w:rsidR="00283043" w:rsidRPr="00D64ABA" w:rsidRDefault="00283043" w:rsidP="00303547">
      <w:pPr>
        <w:ind w:left="-720" w:firstLine="567"/>
        <w:jc w:val="center"/>
        <w:rPr>
          <w:b/>
          <w:i/>
          <w:color w:val="000000"/>
          <w:sz w:val="28"/>
          <w:szCs w:val="28"/>
        </w:rPr>
      </w:pPr>
      <w:r w:rsidRPr="00D64ABA">
        <w:rPr>
          <w:b/>
          <w:i/>
          <w:sz w:val="28"/>
          <w:szCs w:val="28"/>
        </w:rPr>
        <w:t>Показатель</w:t>
      </w:r>
      <w:r w:rsidRPr="00D64ABA">
        <w:rPr>
          <w:color w:val="000000"/>
          <w:sz w:val="28"/>
          <w:szCs w:val="28"/>
        </w:rPr>
        <w:t xml:space="preserve"> «</w:t>
      </w:r>
      <w:r w:rsidRPr="00D64ABA">
        <w:rPr>
          <w:b/>
          <w:i/>
          <w:color w:val="000000"/>
          <w:sz w:val="28"/>
          <w:szCs w:val="28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учреждений»</w:t>
      </w:r>
    </w:p>
    <w:p w:rsidR="00283043" w:rsidRPr="00D64ABA" w:rsidRDefault="00283043" w:rsidP="00303547">
      <w:pPr>
        <w:ind w:left="-720" w:firstLine="567"/>
        <w:jc w:val="both"/>
        <w:rPr>
          <w:color w:val="000000"/>
          <w:sz w:val="28"/>
          <w:szCs w:val="28"/>
        </w:rPr>
      </w:pPr>
      <w:r w:rsidRPr="00D64ABA">
        <w:rPr>
          <w:color w:val="000000"/>
          <w:sz w:val="28"/>
          <w:szCs w:val="28"/>
        </w:rPr>
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учреждений» 97,6% (2015 год – 89,8%). </w:t>
      </w:r>
    </w:p>
    <w:p w:rsidR="00303547" w:rsidRPr="00D64ABA" w:rsidRDefault="00283043" w:rsidP="00303547">
      <w:pPr>
        <w:ind w:left="-720" w:firstLine="567"/>
        <w:jc w:val="both"/>
        <w:rPr>
          <w:b/>
        </w:rPr>
      </w:pPr>
      <w:r w:rsidRPr="00D64ABA">
        <w:rPr>
          <w:color w:val="000000"/>
          <w:sz w:val="28"/>
          <w:szCs w:val="28"/>
        </w:rPr>
        <w:t xml:space="preserve"> </w:t>
      </w:r>
      <w:r w:rsidR="001B09DC" w:rsidRPr="00D64ABA">
        <w:rPr>
          <w:color w:val="000000"/>
          <w:sz w:val="28"/>
          <w:szCs w:val="28"/>
        </w:rPr>
        <w:t>Доля учреждений, соответствующих современным требованиям обучения, увеличилась в 2016 году по сравнению с прошлым годом за счет реализации мероприятий программы "Развитие образования в Нижневартовском районе на 2014-2020 годы", реорганизации образовательных учреждений путем присоединения  муниципального бюджетного общеобразовательного учреждения "Сосновоборская общеобразовательная школа- детский сад"  к муниципальному бюджетному общеобразовательному учреждению  "Чехломеевская основная школа"</w:t>
      </w:r>
      <w:r w:rsidR="001B09DC" w:rsidRPr="00D64ABA">
        <w:rPr>
          <w:color w:val="000000"/>
          <w:sz w:val="28"/>
          <w:szCs w:val="28"/>
        </w:rPr>
        <w:br/>
      </w:r>
    </w:p>
    <w:p w:rsidR="0052140A" w:rsidRPr="00D64ABA" w:rsidRDefault="0052140A" w:rsidP="00F3578E">
      <w:pPr>
        <w:ind w:left="-720" w:firstLine="567"/>
        <w:jc w:val="center"/>
        <w:rPr>
          <w:b/>
          <w:i/>
          <w:color w:val="000000"/>
          <w:sz w:val="28"/>
          <w:szCs w:val="28"/>
        </w:rPr>
      </w:pPr>
    </w:p>
    <w:p w:rsidR="0052140A" w:rsidRPr="00D64ABA" w:rsidRDefault="0052140A" w:rsidP="00F3578E">
      <w:pPr>
        <w:ind w:left="-720" w:firstLine="567"/>
        <w:jc w:val="center"/>
        <w:rPr>
          <w:b/>
          <w:i/>
          <w:color w:val="000000"/>
          <w:sz w:val="28"/>
          <w:szCs w:val="28"/>
        </w:rPr>
      </w:pPr>
      <w:bookmarkStart w:id="4" w:name="_Toc449538391"/>
      <w:r w:rsidRPr="00D64ABA">
        <w:rPr>
          <w:b/>
          <w:i/>
          <w:sz w:val="28"/>
          <w:szCs w:val="28"/>
        </w:rPr>
        <w:t>Показатель</w:t>
      </w:r>
      <w:r w:rsidRPr="00D64ABA">
        <w:rPr>
          <w:color w:val="000000"/>
          <w:sz w:val="28"/>
          <w:szCs w:val="28"/>
        </w:rPr>
        <w:t xml:space="preserve"> «</w:t>
      </w:r>
      <w:r w:rsidRPr="00D64ABA">
        <w:rPr>
          <w:b/>
          <w:i/>
          <w:color w:val="000000"/>
          <w:sz w:val="28"/>
          <w:szCs w:val="28"/>
        </w:rPr>
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</w:r>
      <w:bookmarkEnd w:id="4"/>
      <w:r w:rsidRPr="00D64ABA">
        <w:rPr>
          <w:b/>
          <w:i/>
          <w:color w:val="000000"/>
          <w:sz w:val="28"/>
          <w:szCs w:val="28"/>
        </w:rPr>
        <w:t>»</w:t>
      </w:r>
    </w:p>
    <w:p w:rsidR="00FB62A1" w:rsidRPr="00D64ABA" w:rsidRDefault="00FB62A1" w:rsidP="00F3578E">
      <w:pPr>
        <w:ind w:left="-720" w:firstLine="540"/>
        <w:jc w:val="both"/>
        <w:rPr>
          <w:color w:val="000000"/>
          <w:sz w:val="28"/>
          <w:szCs w:val="28"/>
        </w:rPr>
      </w:pPr>
      <w:r w:rsidRPr="00D64ABA">
        <w:rPr>
          <w:color w:val="000000"/>
          <w:sz w:val="28"/>
          <w:szCs w:val="28"/>
        </w:rPr>
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0% (201</w:t>
      </w:r>
      <w:r w:rsidR="00283043" w:rsidRPr="00D64ABA">
        <w:rPr>
          <w:color w:val="000000"/>
          <w:sz w:val="28"/>
          <w:szCs w:val="28"/>
        </w:rPr>
        <w:t>5</w:t>
      </w:r>
      <w:r w:rsidRPr="00D64ABA">
        <w:rPr>
          <w:color w:val="000000"/>
          <w:sz w:val="28"/>
          <w:szCs w:val="28"/>
        </w:rPr>
        <w:t xml:space="preserve"> год – 0%). </w:t>
      </w:r>
    </w:p>
    <w:p w:rsidR="00E9625D" w:rsidRPr="00D64ABA" w:rsidRDefault="00FB62A1" w:rsidP="00F3578E">
      <w:pPr>
        <w:ind w:left="-720" w:firstLine="540"/>
        <w:jc w:val="both"/>
        <w:rPr>
          <w:color w:val="000000"/>
          <w:sz w:val="28"/>
          <w:szCs w:val="28"/>
        </w:rPr>
      </w:pPr>
      <w:r w:rsidRPr="00D64ABA">
        <w:rPr>
          <w:color w:val="000000"/>
          <w:sz w:val="28"/>
          <w:szCs w:val="28"/>
        </w:rPr>
        <w:t xml:space="preserve"> </w:t>
      </w:r>
      <w:r w:rsidR="00E9625D" w:rsidRPr="00D64ABA">
        <w:rPr>
          <w:color w:val="000000"/>
          <w:sz w:val="28"/>
          <w:szCs w:val="28"/>
        </w:rPr>
        <w:t>Муниципальные общеобразовательные учреждения, здания которых находятся в аварийном состоянии или требуют капитального ремонта, отсутствуют.</w:t>
      </w:r>
    </w:p>
    <w:p w:rsidR="00283043" w:rsidRPr="00D64ABA" w:rsidRDefault="00283043" w:rsidP="00F3578E">
      <w:pPr>
        <w:ind w:left="-720" w:firstLine="540"/>
        <w:jc w:val="both"/>
        <w:rPr>
          <w:color w:val="000000"/>
          <w:sz w:val="28"/>
          <w:szCs w:val="28"/>
        </w:rPr>
      </w:pPr>
    </w:p>
    <w:p w:rsidR="00283043" w:rsidRPr="00D64ABA" w:rsidRDefault="00283043" w:rsidP="00F3578E">
      <w:pPr>
        <w:ind w:left="-720" w:firstLine="567"/>
        <w:jc w:val="center"/>
        <w:rPr>
          <w:b/>
          <w:i/>
          <w:color w:val="000000"/>
          <w:sz w:val="28"/>
          <w:szCs w:val="28"/>
        </w:rPr>
      </w:pPr>
      <w:r w:rsidRPr="00D64ABA">
        <w:rPr>
          <w:b/>
          <w:i/>
          <w:sz w:val="28"/>
          <w:szCs w:val="28"/>
        </w:rPr>
        <w:t>Показатель</w:t>
      </w:r>
      <w:r w:rsidRPr="00D64ABA">
        <w:rPr>
          <w:color w:val="000000"/>
          <w:sz w:val="28"/>
          <w:szCs w:val="28"/>
        </w:rPr>
        <w:t xml:space="preserve"> «</w:t>
      </w:r>
      <w:r w:rsidRPr="00D64ABA">
        <w:rPr>
          <w:b/>
          <w:i/>
          <w:color w:val="000000"/>
          <w:sz w:val="28"/>
          <w:szCs w:val="28"/>
        </w:rPr>
        <w:t>Доля детей первой и второй групп здоровья в общей численности обучающихся в  муниципальных общеобразовательных учреждениях»</w:t>
      </w:r>
    </w:p>
    <w:p w:rsidR="00B51CA7" w:rsidRPr="00D64ABA" w:rsidRDefault="00B51CA7" w:rsidP="00F3578E">
      <w:pPr>
        <w:ind w:left="-720" w:firstLine="567"/>
        <w:jc w:val="center"/>
        <w:rPr>
          <w:b/>
          <w:i/>
          <w:color w:val="000000"/>
          <w:sz w:val="28"/>
          <w:szCs w:val="28"/>
        </w:rPr>
      </w:pPr>
    </w:p>
    <w:p w:rsidR="00B51CA7" w:rsidRPr="00D64ABA" w:rsidRDefault="00B51CA7" w:rsidP="00B51CA7">
      <w:pPr>
        <w:ind w:left="-720" w:firstLine="709"/>
        <w:jc w:val="both"/>
        <w:rPr>
          <w:sz w:val="28"/>
          <w:szCs w:val="28"/>
        </w:rPr>
      </w:pPr>
      <w:r w:rsidRPr="00D64ABA">
        <w:rPr>
          <w:sz w:val="28"/>
          <w:szCs w:val="28"/>
        </w:rPr>
        <w:t>Комплекс профилактических мероприятий, направленных на сохранение и укрепление здоровья детей и подростков, проводимый совместно учреждениями здравоохранения в образовательных учреждениях района позволил в 2016 году увеличить на 0,7 % долю детей первой и второй групп здоровья в общей численности обучающихся и составил 91,6 % (2015 – 90,9%).</w:t>
      </w:r>
    </w:p>
    <w:p w:rsidR="00B51CA7" w:rsidRPr="00D64ABA" w:rsidRDefault="00B51CA7" w:rsidP="00F3578E">
      <w:pPr>
        <w:ind w:left="-720" w:firstLine="567"/>
        <w:jc w:val="center"/>
        <w:rPr>
          <w:b/>
          <w:i/>
          <w:color w:val="000000"/>
          <w:sz w:val="28"/>
          <w:szCs w:val="28"/>
        </w:rPr>
      </w:pPr>
    </w:p>
    <w:p w:rsidR="00D801C5" w:rsidRPr="00D64ABA" w:rsidRDefault="00D801C5" w:rsidP="00F3578E">
      <w:pPr>
        <w:ind w:left="-720" w:firstLine="709"/>
        <w:jc w:val="center"/>
        <w:rPr>
          <w:b/>
          <w:i/>
          <w:sz w:val="28"/>
          <w:szCs w:val="28"/>
        </w:rPr>
      </w:pPr>
      <w:r w:rsidRPr="00D64ABA">
        <w:rPr>
          <w:b/>
          <w:i/>
          <w:sz w:val="28"/>
          <w:szCs w:val="28"/>
        </w:rPr>
        <w:lastRenderedPageBreak/>
        <w:t>Показатель «Доля населения, получившего жилые помещения и улучшившего жилищные условия в отчетном году, в общей численности</w:t>
      </w:r>
    </w:p>
    <w:p w:rsidR="00D801C5" w:rsidRPr="00D64ABA" w:rsidRDefault="00D801C5" w:rsidP="00F3578E">
      <w:pPr>
        <w:widowControl w:val="0"/>
        <w:autoSpaceDE w:val="0"/>
        <w:autoSpaceDN w:val="0"/>
        <w:adjustRightInd w:val="0"/>
        <w:ind w:left="-720"/>
        <w:jc w:val="center"/>
        <w:rPr>
          <w:b/>
          <w:i/>
          <w:sz w:val="28"/>
          <w:szCs w:val="28"/>
        </w:rPr>
      </w:pPr>
      <w:r w:rsidRPr="00D64ABA">
        <w:rPr>
          <w:b/>
          <w:i/>
          <w:sz w:val="28"/>
          <w:szCs w:val="28"/>
        </w:rPr>
        <w:t>населения, состоящего на учете в качестве нуждающегося в жилых помещениях»</w:t>
      </w:r>
    </w:p>
    <w:p w:rsidR="00D801C5" w:rsidRPr="00D64ABA" w:rsidRDefault="00D801C5" w:rsidP="00F3578E">
      <w:pPr>
        <w:ind w:left="-720" w:firstLine="708"/>
        <w:jc w:val="both"/>
        <w:rPr>
          <w:sz w:val="28"/>
          <w:szCs w:val="28"/>
        </w:rPr>
      </w:pPr>
      <w:r w:rsidRPr="00D64ABA">
        <w:rPr>
          <w:sz w:val="28"/>
          <w:szCs w:val="28"/>
        </w:rPr>
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 составила </w:t>
      </w:r>
      <w:r w:rsidR="0081006F" w:rsidRPr="00D64ABA">
        <w:rPr>
          <w:sz w:val="28"/>
          <w:szCs w:val="28"/>
        </w:rPr>
        <w:t>60,6</w:t>
      </w:r>
      <w:r w:rsidRPr="00D64ABA">
        <w:rPr>
          <w:sz w:val="28"/>
          <w:szCs w:val="28"/>
        </w:rPr>
        <w:t xml:space="preserve"> (201</w:t>
      </w:r>
      <w:r w:rsidR="0081006F" w:rsidRPr="00D64ABA">
        <w:rPr>
          <w:sz w:val="28"/>
          <w:szCs w:val="28"/>
        </w:rPr>
        <w:t>5</w:t>
      </w:r>
      <w:r w:rsidRPr="00D64ABA">
        <w:rPr>
          <w:sz w:val="28"/>
          <w:szCs w:val="28"/>
        </w:rPr>
        <w:t xml:space="preserve"> год – 5</w:t>
      </w:r>
      <w:r w:rsidR="0081006F" w:rsidRPr="00D64ABA">
        <w:rPr>
          <w:sz w:val="28"/>
          <w:szCs w:val="28"/>
        </w:rPr>
        <w:t>8</w:t>
      </w:r>
      <w:r w:rsidRPr="00D64ABA">
        <w:rPr>
          <w:sz w:val="28"/>
          <w:szCs w:val="28"/>
        </w:rPr>
        <w:t>,0 %).</w:t>
      </w:r>
    </w:p>
    <w:p w:rsidR="0081006F" w:rsidRPr="00D64ABA" w:rsidRDefault="00D801C5" w:rsidP="00F3578E">
      <w:pPr>
        <w:widowControl w:val="0"/>
        <w:autoSpaceDE w:val="0"/>
        <w:autoSpaceDN w:val="0"/>
        <w:adjustRightInd w:val="0"/>
        <w:ind w:left="-720" w:firstLine="709"/>
        <w:jc w:val="both"/>
        <w:rPr>
          <w:color w:val="000000"/>
          <w:sz w:val="28"/>
          <w:szCs w:val="28"/>
        </w:rPr>
      </w:pPr>
      <w:r w:rsidRPr="00D64ABA">
        <w:rPr>
          <w:color w:val="000000"/>
          <w:sz w:val="28"/>
          <w:szCs w:val="28"/>
        </w:rPr>
        <w:t>.</w:t>
      </w:r>
      <w:r w:rsidR="00FE0FF9" w:rsidRPr="00D64ABA">
        <w:rPr>
          <w:color w:val="000000"/>
          <w:sz w:val="28"/>
          <w:szCs w:val="28"/>
        </w:rPr>
        <w:t>В 2016 году из 1954 граждан, состоящих на учете, улучшили свои жилищные условия 1185 человек</w:t>
      </w:r>
      <w:r w:rsidR="0081006F" w:rsidRPr="00D64ABA">
        <w:rPr>
          <w:color w:val="000000"/>
          <w:sz w:val="28"/>
          <w:szCs w:val="28"/>
        </w:rPr>
        <w:t xml:space="preserve">, из них </w:t>
      </w:r>
      <w:r w:rsidR="00FE0FF9" w:rsidRPr="00D64ABA">
        <w:rPr>
          <w:color w:val="000000"/>
          <w:sz w:val="28"/>
          <w:szCs w:val="28"/>
        </w:rPr>
        <w:t xml:space="preserve">путем получения жилых помещений в порядке очередности по договорам социального найма, переселения из непригодного жилищного фонда, получение жилых помещений специализированного жилищ. фонда, фонда ком. использования </w:t>
      </w:r>
      <w:r w:rsidR="0081006F" w:rsidRPr="00D64ABA">
        <w:rPr>
          <w:color w:val="000000"/>
          <w:sz w:val="28"/>
          <w:szCs w:val="28"/>
        </w:rPr>
        <w:t xml:space="preserve">- </w:t>
      </w:r>
      <w:r w:rsidR="00FE0FF9" w:rsidRPr="00D64ABA">
        <w:rPr>
          <w:color w:val="000000"/>
          <w:sz w:val="28"/>
          <w:szCs w:val="28"/>
        </w:rPr>
        <w:t>943 человека.</w:t>
      </w:r>
      <w:r w:rsidR="0081006F" w:rsidRPr="00D64ABA">
        <w:rPr>
          <w:color w:val="000000"/>
          <w:sz w:val="28"/>
          <w:szCs w:val="28"/>
        </w:rPr>
        <w:t xml:space="preserve"> </w:t>
      </w:r>
      <w:r w:rsidR="00FE0FF9" w:rsidRPr="00D64ABA">
        <w:rPr>
          <w:color w:val="000000"/>
          <w:sz w:val="28"/>
          <w:szCs w:val="28"/>
        </w:rPr>
        <w:t>Реализация мероприятий различных целевых программ</w:t>
      </w:r>
      <w:r w:rsidR="0081006F" w:rsidRPr="00D64ABA">
        <w:rPr>
          <w:color w:val="000000"/>
          <w:sz w:val="28"/>
          <w:szCs w:val="28"/>
        </w:rPr>
        <w:t xml:space="preserve">, в том числе:  </w:t>
      </w:r>
    </w:p>
    <w:p w:rsidR="0081006F" w:rsidRPr="00D64ABA" w:rsidRDefault="0081006F" w:rsidP="00F3578E">
      <w:pPr>
        <w:widowControl w:val="0"/>
        <w:autoSpaceDE w:val="0"/>
        <w:autoSpaceDN w:val="0"/>
        <w:adjustRightInd w:val="0"/>
        <w:ind w:left="-720" w:firstLine="709"/>
        <w:jc w:val="both"/>
        <w:rPr>
          <w:color w:val="000000"/>
          <w:sz w:val="28"/>
          <w:szCs w:val="28"/>
        </w:rPr>
      </w:pPr>
      <w:r w:rsidRPr="00D64ABA">
        <w:rPr>
          <w:color w:val="000000"/>
          <w:sz w:val="28"/>
          <w:szCs w:val="28"/>
        </w:rPr>
        <w:t xml:space="preserve">по предоставлению </w:t>
      </w:r>
      <w:r w:rsidR="00FE0FF9" w:rsidRPr="00D64ABA">
        <w:rPr>
          <w:color w:val="000000"/>
          <w:sz w:val="28"/>
          <w:szCs w:val="28"/>
        </w:rPr>
        <w:t>субсиди</w:t>
      </w:r>
      <w:r w:rsidRPr="00D64ABA">
        <w:rPr>
          <w:color w:val="000000"/>
          <w:sz w:val="28"/>
          <w:szCs w:val="28"/>
        </w:rPr>
        <w:t>й:</w:t>
      </w:r>
      <w:r w:rsidR="00FE0FF9" w:rsidRPr="00D64ABA">
        <w:rPr>
          <w:color w:val="000000"/>
          <w:sz w:val="28"/>
          <w:szCs w:val="28"/>
        </w:rPr>
        <w:t xml:space="preserve"> ветеранам боевых действий -1 ч., молодым семьям -4 ч., переселенцам за пределы автономного округа</w:t>
      </w:r>
      <w:r w:rsidRPr="00D64ABA">
        <w:rPr>
          <w:color w:val="000000"/>
          <w:sz w:val="28"/>
          <w:szCs w:val="28"/>
        </w:rPr>
        <w:t xml:space="preserve"> </w:t>
      </w:r>
      <w:r w:rsidR="00FE0FF9" w:rsidRPr="00D64ABA">
        <w:rPr>
          <w:color w:val="000000"/>
          <w:sz w:val="28"/>
          <w:szCs w:val="28"/>
        </w:rPr>
        <w:t xml:space="preserve">-23 ч., </w:t>
      </w:r>
    </w:p>
    <w:p w:rsidR="0081006F" w:rsidRPr="00D64ABA" w:rsidRDefault="00FE0FF9" w:rsidP="00F3578E">
      <w:pPr>
        <w:widowControl w:val="0"/>
        <w:autoSpaceDE w:val="0"/>
        <w:autoSpaceDN w:val="0"/>
        <w:adjustRightInd w:val="0"/>
        <w:ind w:left="-720" w:firstLine="709"/>
        <w:jc w:val="both"/>
        <w:rPr>
          <w:color w:val="000000"/>
          <w:sz w:val="28"/>
          <w:szCs w:val="28"/>
        </w:rPr>
      </w:pPr>
      <w:r w:rsidRPr="00D64ABA">
        <w:rPr>
          <w:color w:val="000000"/>
          <w:sz w:val="28"/>
          <w:szCs w:val="28"/>
        </w:rPr>
        <w:t xml:space="preserve">ипотечное жилищное кредитование -101 ч., </w:t>
      </w:r>
    </w:p>
    <w:p w:rsidR="0081006F" w:rsidRPr="00D64ABA" w:rsidRDefault="00FE0FF9" w:rsidP="00F3578E">
      <w:pPr>
        <w:widowControl w:val="0"/>
        <w:autoSpaceDE w:val="0"/>
        <w:autoSpaceDN w:val="0"/>
        <w:adjustRightInd w:val="0"/>
        <w:ind w:left="-720" w:firstLine="709"/>
        <w:jc w:val="both"/>
        <w:rPr>
          <w:color w:val="000000"/>
          <w:sz w:val="28"/>
          <w:szCs w:val="28"/>
        </w:rPr>
      </w:pPr>
      <w:r w:rsidRPr="00D64ABA">
        <w:rPr>
          <w:color w:val="000000"/>
          <w:sz w:val="28"/>
          <w:szCs w:val="28"/>
        </w:rPr>
        <w:t xml:space="preserve">обеспечение детей сирот -15 ч, </w:t>
      </w:r>
    </w:p>
    <w:p w:rsidR="0081006F" w:rsidRPr="00D64ABA" w:rsidRDefault="00FE0FF9" w:rsidP="00F3578E">
      <w:pPr>
        <w:widowControl w:val="0"/>
        <w:autoSpaceDE w:val="0"/>
        <w:autoSpaceDN w:val="0"/>
        <w:adjustRightInd w:val="0"/>
        <w:ind w:left="-720" w:firstLine="709"/>
        <w:jc w:val="both"/>
        <w:rPr>
          <w:color w:val="000000"/>
          <w:sz w:val="28"/>
          <w:szCs w:val="28"/>
        </w:rPr>
      </w:pPr>
      <w:r w:rsidRPr="00D64ABA">
        <w:rPr>
          <w:color w:val="000000"/>
          <w:sz w:val="28"/>
          <w:szCs w:val="28"/>
        </w:rPr>
        <w:t>переселение граждан из жилых помещений,</w:t>
      </w:r>
      <w:r w:rsidR="0081006F" w:rsidRPr="00D64ABA">
        <w:rPr>
          <w:color w:val="000000"/>
          <w:sz w:val="28"/>
          <w:szCs w:val="28"/>
        </w:rPr>
        <w:t xml:space="preserve"> попавших в зону подтопления в результате паводка - 49 человек, </w:t>
      </w:r>
    </w:p>
    <w:p w:rsidR="00D801C5" w:rsidRPr="00D64ABA" w:rsidRDefault="0081006F" w:rsidP="00F3578E">
      <w:pPr>
        <w:widowControl w:val="0"/>
        <w:autoSpaceDE w:val="0"/>
        <w:autoSpaceDN w:val="0"/>
        <w:adjustRightInd w:val="0"/>
        <w:ind w:left="-720" w:firstLine="709"/>
        <w:jc w:val="both"/>
        <w:rPr>
          <w:bCs/>
          <w:sz w:val="28"/>
          <w:szCs w:val="28"/>
        </w:rPr>
      </w:pPr>
      <w:r w:rsidRPr="00D64ABA">
        <w:rPr>
          <w:color w:val="000000"/>
          <w:sz w:val="28"/>
          <w:szCs w:val="28"/>
        </w:rPr>
        <w:t>предоставление многодетным семьям социальной выплаты взамен предоставления им земельного участка в собственность бесплатно – 49 человек.</w:t>
      </w:r>
    </w:p>
    <w:p w:rsidR="0081006F" w:rsidRPr="00D64ABA" w:rsidRDefault="0081006F" w:rsidP="00F3578E">
      <w:pPr>
        <w:widowControl w:val="0"/>
        <w:autoSpaceDE w:val="0"/>
        <w:autoSpaceDN w:val="0"/>
        <w:adjustRightInd w:val="0"/>
        <w:ind w:left="-720"/>
        <w:jc w:val="center"/>
        <w:outlineLvl w:val="1"/>
        <w:rPr>
          <w:b/>
          <w:i/>
          <w:sz w:val="28"/>
          <w:szCs w:val="28"/>
        </w:rPr>
      </w:pPr>
    </w:p>
    <w:p w:rsidR="00D801C5" w:rsidRPr="00D64ABA" w:rsidRDefault="00D801C5" w:rsidP="00F3578E">
      <w:pPr>
        <w:widowControl w:val="0"/>
        <w:autoSpaceDE w:val="0"/>
        <w:autoSpaceDN w:val="0"/>
        <w:adjustRightInd w:val="0"/>
        <w:ind w:left="-720"/>
        <w:jc w:val="center"/>
        <w:outlineLvl w:val="1"/>
        <w:rPr>
          <w:b/>
          <w:i/>
          <w:sz w:val="28"/>
          <w:szCs w:val="28"/>
        </w:rPr>
      </w:pPr>
      <w:r w:rsidRPr="00D64ABA">
        <w:rPr>
          <w:b/>
          <w:i/>
          <w:sz w:val="28"/>
          <w:szCs w:val="28"/>
        </w:rPr>
        <w:t>Показатель «Доля многоквартирных домов, расположенных на земельных участках, в отношении которых осуществлен государственный кадастровый учет»</w:t>
      </w:r>
    </w:p>
    <w:p w:rsidR="00D801C5" w:rsidRPr="00D64ABA" w:rsidRDefault="00D801C5" w:rsidP="00F3578E">
      <w:pPr>
        <w:widowControl w:val="0"/>
        <w:autoSpaceDE w:val="0"/>
        <w:autoSpaceDN w:val="0"/>
        <w:adjustRightInd w:val="0"/>
        <w:ind w:left="-720" w:firstLine="720"/>
        <w:jc w:val="both"/>
        <w:outlineLvl w:val="1"/>
        <w:rPr>
          <w:rFonts w:eastAsiaTheme="minorEastAsia"/>
          <w:sz w:val="28"/>
          <w:szCs w:val="28"/>
        </w:rPr>
      </w:pPr>
      <w:r w:rsidRPr="00D64ABA">
        <w:rPr>
          <w:sz w:val="28"/>
          <w:szCs w:val="28"/>
        </w:rPr>
        <w:t>Доля многоквартирных домов, расположенных на земельных участках, в отношении которых осуществлен государственный кадастровый учет, составила 100% (</w:t>
      </w:r>
      <w:r w:rsidRPr="00D64ABA">
        <w:rPr>
          <w:rFonts w:eastAsiaTheme="minorEastAsia"/>
          <w:sz w:val="28"/>
          <w:szCs w:val="28"/>
        </w:rPr>
        <w:t>201</w:t>
      </w:r>
      <w:r w:rsidR="002A5B2E" w:rsidRPr="00D64ABA">
        <w:rPr>
          <w:rFonts w:eastAsiaTheme="minorEastAsia"/>
          <w:sz w:val="28"/>
          <w:szCs w:val="28"/>
        </w:rPr>
        <w:t>5</w:t>
      </w:r>
      <w:r w:rsidRPr="00D64ABA">
        <w:rPr>
          <w:rFonts w:eastAsiaTheme="minorEastAsia"/>
          <w:sz w:val="28"/>
          <w:szCs w:val="28"/>
        </w:rPr>
        <w:t xml:space="preserve"> год - 100,0 %). </w:t>
      </w:r>
    </w:p>
    <w:p w:rsidR="0099376E" w:rsidRPr="00D64ABA" w:rsidRDefault="0099376E" w:rsidP="00F3578E">
      <w:pPr>
        <w:widowControl w:val="0"/>
        <w:autoSpaceDE w:val="0"/>
        <w:autoSpaceDN w:val="0"/>
        <w:adjustRightInd w:val="0"/>
        <w:ind w:left="-720" w:firstLine="720"/>
        <w:jc w:val="both"/>
        <w:outlineLvl w:val="1"/>
        <w:rPr>
          <w:rFonts w:eastAsiaTheme="minorEastAsia"/>
          <w:sz w:val="28"/>
          <w:szCs w:val="28"/>
        </w:rPr>
      </w:pPr>
      <w:r w:rsidRPr="00D64ABA">
        <w:rPr>
          <w:rFonts w:eastAsiaTheme="minorEastAsia"/>
          <w:sz w:val="28"/>
          <w:szCs w:val="28"/>
        </w:rPr>
        <w:t xml:space="preserve">В Нижневартовском районе в отношении всех </w:t>
      </w:r>
      <w:r w:rsidRPr="00D64ABA">
        <w:rPr>
          <w:sz w:val="28"/>
          <w:szCs w:val="28"/>
        </w:rPr>
        <w:t>многоквартирных</w:t>
      </w:r>
      <w:r w:rsidRPr="00D64ABA">
        <w:rPr>
          <w:rFonts w:eastAsiaTheme="minorEastAsia"/>
          <w:sz w:val="28"/>
          <w:szCs w:val="28"/>
        </w:rPr>
        <w:t xml:space="preserve"> домов, </w:t>
      </w:r>
      <w:r w:rsidRPr="00D64ABA">
        <w:rPr>
          <w:sz w:val="28"/>
          <w:szCs w:val="28"/>
        </w:rPr>
        <w:t>расположенных на земельных участках, осуществлен г</w:t>
      </w:r>
      <w:r w:rsidR="00573D80" w:rsidRPr="00D64ABA">
        <w:rPr>
          <w:sz w:val="28"/>
          <w:szCs w:val="28"/>
        </w:rPr>
        <w:t>осударственный кадастровый учет.</w:t>
      </w:r>
    </w:p>
    <w:p w:rsidR="00D801C5" w:rsidRPr="00D64ABA" w:rsidRDefault="00D801C5" w:rsidP="00F3578E">
      <w:pPr>
        <w:widowControl w:val="0"/>
        <w:autoSpaceDE w:val="0"/>
        <w:autoSpaceDN w:val="0"/>
        <w:adjustRightInd w:val="0"/>
        <w:ind w:left="-720"/>
        <w:jc w:val="both"/>
        <w:outlineLvl w:val="1"/>
        <w:rPr>
          <w:b/>
          <w:i/>
          <w:sz w:val="28"/>
          <w:szCs w:val="28"/>
        </w:rPr>
      </w:pPr>
    </w:p>
    <w:p w:rsidR="00A80FC5" w:rsidRPr="00D64ABA" w:rsidRDefault="00A80FC5" w:rsidP="00A80FC5">
      <w:pPr>
        <w:widowControl w:val="0"/>
        <w:autoSpaceDE w:val="0"/>
        <w:autoSpaceDN w:val="0"/>
        <w:adjustRightInd w:val="0"/>
        <w:ind w:left="-720"/>
        <w:jc w:val="center"/>
        <w:outlineLvl w:val="1"/>
        <w:rPr>
          <w:b/>
          <w:i/>
          <w:sz w:val="28"/>
          <w:szCs w:val="28"/>
        </w:rPr>
      </w:pPr>
      <w:r w:rsidRPr="00D64ABA">
        <w:rPr>
          <w:b/>
          <w:i/>
          <w:sz w:val="28"/>
          <w:szCs w:val="28"/>
        </w:rPr>
        <w:t>Показатель «Площадь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эксплуатацию»</w:t>
      </w:r>
    </w:p>
    <w:p w:rsidR="00A80FC5" w:rsidRPr="00D64ABA" w:rsidRDefault="00A80FC5" w:rsidP="00A80FC5">
      <w:pPr>
        <w:widowControl w:val="0"/>
        <w:autoSpaceDE w:val="0"/>
        <w:autoSpaceDN w:val="0"/>
        <w:adjustRightInd w:val="0"/>
        <w:ind w:left="-720" w:firstLine="720"/>
        <w:jc w:val="both"/>
        <w:outlineLvl w:val="1"/>
        <w:rPr>
          <w:sz w:val="28"/>
          <w:szCs w:val="28"/>
        </w:rPr>
      </w:pPr>
      <w:r w:rsidRPr="00D64ABA">
        <w:rPr>
          <w:sz w:val="28"/>
          <w:szCs w:val="28"/>
        </w:rPr>
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эксплуатацию, отсутствует.</w:t>
      </w:r>
    </w:p>
    <w:p w:rsidR="00A80FC5" w:rsidRPr="00D64ABA" w:rsidRDefault="00A80FC5" w:rsidP="00A80FC5">
      <w:pPr>
        <w:ind w:left="-720" w:firstLine="720"/>
        <w:jc w:val="both"/>
      </w:pPr>
      <w:r w:rsidRPr="00D64ABA">
        <w:rPr>
          <w:sz w:val="28"/>
          <w:szCs w:val="28"/>
        </w:rPr>
        <w:t>В 2016</w:t>
      </w:r>
      <w:r w:rsidRPr="00D64ABA">
        <w:rPr>
          <w:rFonts w:cs="Calibri"/>
          <w:sz w:val="28"/>
          <w:szCs w:val="28"/>
        </w:rPr>
        <w:t xml:space="preserve"> году сокращены </w:t>
      </w:r>
      <w:r w:rsidRPr="00D64ABA">
        <w:rPr>
          <w:sz w:val="28"/>
          <w:szCs w:val="28"/>
        </w:rPr>
        <w:t xml:space="preserve">показатели по срокам и количеству согласований в сфере строительства. Так,  </w:t>
      </w:r>
      <w:r w:rsidRPr="00D64ABA">
        <w:rPr>
          <w:rFonts w:cs="Calibri"/>
          <w:sz w:val="28"/>
          <w:szCs w:val="28"/>
        </w:rPr>
        <w:t>для получения разрешения на строительство,</w:t>
      </w:r>
      <w:r w:rsidRPr="00D64ABA">
        <w:rPr>
          <w:sz w:val="28"/>
          <w:szCs w:val="28"/>
        </w:rPr>
        <w:t xml:space="preserve"> к</w:t>
      </w:r>
      <w:r w:rsidRPr="00D64ABA">
        <w:rPr>
          <w:rFonts w:cs="Calibri"/>
          <w:sz w:val="28"/>
          <w:szCs w:val="28"/>
        </w:rPr>
        <w:t>оличество процедур уменьшилось на 3 единицы и достигло – 5</w:t>
      </w:r>
      <w:bookmarkStart w:id="5" w:name="_GoBack"/>
      <w:bookmarkEnd w:id="5"/>
      <w:r w:rsidRPr="00D64ABA">
        <w:rPr>
          <w:rFonts w:cs="Calibri"/>
          <w:sz w:val="28"/>
          <w:szCs w:val="28"/>
        </w:rPr>
        <w:t>, это значение соответствует значению показателя по  округу,  время прохождения всех процедур сократилось на 13 дней и составило 77</w:t>
      </w:r>
      <w:r w:rsidRPr="00D64ABA">
        <w:rPr>
          <w:rFonts w:cs="Calibri"/>
          <w:i/>
          <w:sz w:val="28"/>
          <w:szCs w:val="28"/>
        </w:rPr>
        <w:t>.</w:t>
      </w:r>
    </w:p>
    <w:p w:rsidR="00A80FC5" w:rsidRPr="00D64ABA" w:rsidRDefault="00A80FC5" w:rsidP="00A80FC5">
      <w:pPr>
        <w:ind w:left="-720" w:firstLine="720"/>
        <w:jc w:val="both"/>
        <w:rPr>
          <w:sz w:val="28"/>
          <w:szCs w:val="28"/>
        </w:rPr>
      </w:pPr>
      <w:r w:rsidRPr="00D64ABA">
        <w:rPr>
          <w:sz w:val="28"/>
          <w:szCs w:val="28"/>
        </w:rPr>
        <w:lastRenderedPageBreak/>
        <w:t>Принятые меры позволяют своевременно формировать и  последовательно осваивать земельные участки для жилищного строительства и иных объектов капитального строительства.</w:t>
      </w:r>
    </w:p>
    <w:p w:rsidR="00A80FC5" w:rsidRPr="00D64ABA" w:rsidRDefault="00A80FC5" w:rsidP="00F3578E">
      <w:pPr>
        <w:widowControl w:val="0"/>
        <w:autoSpaceDE w:val="0"/>
        <w:autoSpaceDN w:val="0"/>
        <w:adjustRightInd w:val="0"/>
        <w:ind w:left="-720"/>
        <w:jc w:val="center"/>
        <w:outlineLvl w:val="1"/>
        <w:rPr>
          <w:b/>
          <w:i/>
          <w:sz w:val="28"/>
          <w:szCs w:val="28"/>
        </w:rPr>
      </w:pPr>
    </w:p>
    <w:p w:rsidR="00F3578E" w:rsidRPr="00D64ABA" w:rsidRDefault="00F3578E" w:rsidP="00F3578E">
      <w:pPr>
        <w:widowControl w:val="0"/>
        <w:autoSpaceDE w:val="0"/>
        <w:autoSpaceDN w:val="0"/>
        <w:adjustRightInd w:val="0"/>
        <w:ind w:left="-720"/>
        <w:jc w:val="center"/>
        <w:outlineLvl w:val="1"/>
        <w:rPr>
          <w:b/>
          <w:i/>
          <w:sz w:val="28"/>
          <w:szCs w:val="28"/>
        </w:rPr>
      </w:pPr>
      <w:r w:rsidRPr="00D64ABA">
        <w:rPr>
          <w:b/>
          <w:i/>
          <w:sz w:val="28"/>
          <w:szCs w:val="28"/>
        </w:rPr>
        <w:t>Показатель «Площадь земельных участков, предоставленных для строительства  в расчете на 10 тыс.человек населения всего,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</w:t>
      </w:r>
      <w:r w:rsidR="001B4DB9" w:rsidRPr="00D64ABA">
        <w:rPr>
          <w:b/>
          <w:i/>
          <w:sz w:val="28"/>
          <w:szCs w:val="28"/>
        </w:rPr>
        <w:t>л</w:t>
      </w:r>
      <w:r w:rsidRPr="00D64ABA">
        <w:rPr>
          <w:b/>
          <w:i/>
          <w:sz w:val="28"/>
          <w:szCs w:val="28"/>
        </w:rPr>
        <w:t>ьства »</w:t>
      </w:r>
    </w:p>
    <w:p w:rsidR="00D801C5" w:rsidRPr="00D64ABA" w:rsidRDefault="00D801C5" w:rsidP="00F3578E">
      <w:pPr>
        <w:widowControl w:val="0"/>
        <w:autoSpaceDE w:val="0"/>
        <w:autoSpaceDN w:val="0"/>
        <w:adjustRightInd w:val="0"/>
        <w:ind w:left="-720" w:firstLine="709"/>
        <w:jc w:val="both"/>
        <w:rPr>
          <w:sz w:val="28"/>
          <w:szCs w:val="28"/>
        </w:rPr>
      </w:pPr>
    </w:p>
    <w:p w:rsidR="001B4DB9" w:rsidRPr="00D64ABA" w:rsidRDefault="001B4DB9" w:rsidP="001B4DB9">
      <w:pPr>
        <w:widowControl w:val="0"/>
        <w:autoSpaceDE w:val="0"/>
        <w:autoSpaceDN w:val="0"/>
        <w:adjustRightInd w:val="0"/>
        <w:ind w:left="-720" w:firstLine="720"/>
        <w:jc w:val="both"/>
        <w:outlineLvl w:val="1"/>
        <w:rPr>
          <w:sz w:val="28"/>
          <w:szCs w:val="28"/>
        </w:rPr>
      </w:pPr>
      <w:r w:rsidRPr="00D64ABA">
        <w:rPr>
          <w:sz w:val="28"/>
          <w:szCs w:val="28"/>
        </w:rPr>
        <w:t>Площадь земельных участков, предоставленных для строительства в расчете на 10 тыс. человек населения всего,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» составляет 137,</w:t>
      </w:r>
      <w:r w:rsidR="00165E3C">
        <w:rPr>
          <w:sz w:val="28"/>
          <w:szCs w:val="28"/>
        </w:rPr>
        <w:t>6</w:t>
      </w:r>
      <w:r w:rsidRPr="00D64ABA">
        <w:rPr>
          <w:sz w:val="28"/>
          <w:szCs w:val="28"/>
        </w:rPr>
        <w:t>га ( 2015 год- 125,8 га).</w:t>
      </w:r>
    </w:p>
    <w:p w:rsidR="001B4DB9" w:rsidRPr="00D64ABA" w:rsidRDefault="001B4DB9" w:rsidP="001B4DB9">
      <w:pPr>
        <w:ind w:left="-720" w:firstLine="720"/>
        <w:jc w:val="both"/>
        <w:rPr>
          <w:sz w:val="28"/>
          <w:szCs w:val="28"/>
        </w:rPr>
      </w:pPr>
      <w:r w:rsidRPr="00D64ABA">
        <w:rPr>
          <w:sz w:val="28"/>
          <w:szCs w:val="28"/>
        </w:rPr>
        <w:t>Рост показателя обусловлен следующими факторами:</w:t>
      </w:r>
    </w:p>
    <w:p w:rsidR="001B4DB9" w:rsidRPr="00D64ABA" w:rsidRDefault="001B4DB9" w:rsidP="001B4DB9">
      <w:pPr>
        <w:ind w:left="-720" w:firstLine="720"/>
        <w:jc w:val="both"/>
        <w:rPr>
          <w:sz w:val="28"/>
          <w:szCs w:val="28"/>
        </w:rPr>
      </w:pPr>
      <w:r w:rsidRPr="00D64ABA">
        <w:rPr>
          <w:sz w:val="28"/>
          <w:szCs w:val="28"/>
        </w:rPr>
        <w:t>- предоставление земельных участков под обустройство нефтяных месторождений для решения производственных задач по увеличению добычи углеводородного сырья;</w:t>
      </w:r>
    </w:p>
    <w:p w:rsidR="001B4DB9" w:rsidRPr="00D64ABA" w:rsidRDefault="001B4DB9" w:rsidP="001B4DB9">
      <w:pPr>
        <w:ind w:left="-720" w:firstLine="720"/>
        <w:jc w:val="both"/>
        <w:rPr>
          <w:sz w:val="28"/>
          <w:szCs w:val="28"/>
        </w:rPr>
      </w:pPr>
      <w:r w:rsidRPr="00D64ABA">
        <w:rPr>
          <w:sz w:val="28"/>
          <w:szCs w:val="28"/>
        </w:rPr>
        <w:t>- предоставление земельных участков для жилищного строительства по программе «Обеспечение доступным и комфортным жильем жителей ХМАО-Югры в 2016-2020 годах».</w:t>
      </w:r>
    </w:p>
    <w:p w:rsidR="001B4DB9" w:rsidRPr="00D64ABA" w:rsidRDefault="001B4DB9" w:rsidP="00F3578E">
      <w:pPr>
        <w:widowControl w:val="0"/>
        <w:autoSpaceDE w:val="0"/>
        <w:autoSpaceDN w:val="0"/>
        <w:adjustRightInd w:val="0"/>
        <w:ind w:left="-720" w:firstLine="709"/>
        <w:jc w:val="both"/>
        <w:rPr>
          <w:sz w:val="28"/>
          <w:szCs w:val="28"/>
        </w:rPr>
      </w:pPr>
    </w:p>
    <w:p w:rsidR="00D801C5" w:rsidRPr="00D64ABA" w:rsidRDefault="00D801C5" w:rsidP="00F3578E">
      <w:pPr>
        <w:widowControl w:val="0"/>
        <w:autoSpaceDE w:val="0"/>
        <w:autoSpaceDN w:val="0"/>
        <w:adjustRightInd w:val="0"/>
        <w:ind w:left="-720"/>
        <w:jc w:val="center"/>
        <w:outlineLvl w:val="1"/>
        <w:rPr>
          <w:b/>
          <w:i/>
          <w:sz w:val="28"/>
          <w:szCs w:val="28"/>
        </w:rPr>
      </w:pPr>
      <w:r w:rsidRPr="00D64ABA">
        <w:rPr>
          <w:b/>
          <w:i/>
          <w:sz w:val="28"/>
          <w:szCs w:val="28"/>
        </w:rPr>
        <w:t>Показатель «Доля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субвенций)»</w:t>
      </w:r>
    </w:p>
    <w:p w:rsidR="00D801C5" w:rsidRPr="00D64ABA" w:rsidRDefault="00D801C5" w:rsidP="00165E3C">
      <w:pPr>
        <w:ind w:left="-720" w:firstLine="708"/>
        <w:jc w:val="both"/>
        <w:rPr>
          <w:sz w:val="28"/>
          <w:szCs w:val="28"/>
        </w:rPr>
      </w:pPr>
      <w:r w:rsidRPr="00D64ABA">
        <w:rPr>
          <w:sz w:val="28"/>
          <w:szCs w:val="28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составила в 201</w:t>
      </w:r>
      <w:r w:rsidR="00A1308F" w:rsidRPr="00D64ABA">
        <w:rPr>
          <w:sz w:val="28"/>
          <w:szCs w:val="28"/>
        </w:rPr>
        <w:t>6</w:t>
      </w:r>
      <w:r w:rsidRPr="00D64ABA">
        <w:rPr>
          <w:sz w:val="28"/>
          <w:szCs w:val="28"/>
        </w:rPr>
        <w:t xml:space="preserve"> году – </w:t>
      </w:r>
      <w:r w:rsidR="00A1308F" w:rsidRPr="00D64ABA">
        <w:rPr>
          <w:sz w:val="28"/>
          <w:szCs w:val="28"/>
        </w:rPr>
        <w:t>60,1</w:t>
      </w:r>
      <w:r w:rsidRPr="00D64ABA">
        <w:rPr>
          <w:sz w:val="28"/>
          <w:szCs w:val="28"/>
        </w:rPr>
        <w:t xml:space="preserve"> % (201</w:t>
      </w:r>
      <w:r w:rsidR="00A1308F" w:rsidRPr="00D64ABA">
        <w:rPr>
          <w:sz w:val="28"/>
          <w:szCs w:val="28"/>
        </w:rPr>
        <w:t>5</w:t>
      </w:r>
      <w:r w:rsidRPr="00D64ABA">
        <w:rPr>
          <w:sz w:val="28"/>
          <w:szCs w:val="28"/>
        </w:rPr>
        <w:t xml:space="preserve"> год – </w:t>
      </w:r>
      <w:r w:rsidR="00A1308F" w:rsidRPr="00D64ABA">
        <w:rPr>
          <w:sz w:val="28"/>
          <w:szCs w:val="28"/>
        </w:rPr>
        <w:t>59</w:t>
      </w:r>
      <w:r w:rsidRPr="00D64ABA">
        <w:rPr>
          <w:sz w:val="28"/>
          <w:szCs w:val="28"/>
        </w:rPr>
        <w:t xml:space="preserve"> %).</w:t>
      </w:r>
    </w:p>
    <w:p w:rsidR="00303A10" w:rsidRPr="00D64ABA" w:rsidRDefault="00303A10" w:rsidP="00165E3C">
      <w:pPr>
        <w:ind w:left="-720" w:firstLine="720"/>
        <w:jc w:val="both"/>
        <w:rPr>
          <w:sz w:val="28"/>
          <w:szCs w:val="28"/>
        </w:rPr>
      </w:pPr>
      <w:r w:rsidRPr="00D64ABA">
        <w:rPr>
          <w:sz w:val="28"/>
          <w:szCs w:val="28"/>
        </w:rPr>
        <w:t xml:space="preserve">Увеличение показателя обусловлено ростом поступлений: </w:t>
      </w:r>
    </w:p>
    <w:p w:rsidR="00303A10" w:rsidRPr="00D64ABA" w:rsidRDefault="00303A10" w:rsidP="00165E3C">
      <w:pPr>
        <w:ind w:left="-720" w:firstLine="720"/>
        <w:jc w:val="both"/>
        <w:rPr>
          <w:sz w:val="28"/>
          <w:szCs w:val="28"/>
        </w:rPr>
      </w:pPr>
      <w:r w:rsidRPr="00D64ABA">
        <w:rPr>
          <w:sz w:val="28"/>
          <w:szCs w:val="28"/>
        </w:rPr>
        <w:t>- налога на доходы физических лиц на 10,2 млн. рублей в связи с проводимой работой комиссии по мобилизации дополнительных доходов и погашению задолженности;</w:t>
      </w:r>
    </w:p>
    <w:p w:rsidR="00303A10" w:rsidRPr="00D64ABA" w:rsidRDefault="00303A10" w:rsidP="00165E3C">
      <w:pPr>
        <w:ind w:left="-720" w:firstLine="720"/>
        <w:jc w:val="both"/>
        <w:rPr>
          <w:sz w:val="28"/>
          <w:szCs w:val="28"/>
        </w:rPr>
      </w:pPr>
      <w:r w:rsidRPr="00D64ABA">
        <w:rPr>
          <w:sz w:val="28"/>
          <w:szCs w:val="28"/>
        </w:rPr>
        <w:t xml:space="preserve">- </w:t>
      </w:r>
      <w:r w:rsidRPr="00D64ABA">
        <w:rPr>
          <w:color w:val="FF0000"/>
          <w:sz w:val="28"/>
          <w:szCs w:val="28"/>
        </w:rPr>
        <w:t xml:space="preserve"> </w:t>
      </w:r>
      <w:r w:rsidRPr="00D64ABA">
        <w:rPr>
          <w:sz w:val="28"/>
          <w:szCs w:val="28"/>
        </w:rPr>
        <w:t>акцизов на ГСМ (с 21,5 млн. рублей в 2015 году до 30,9 млн. рублей в 2016 году) в связи с увеличением ставок по акцизам;</w:t>
      </w:r>
    </w:p>
    <w:p w:rsidR="00303A10" w:rsidRPr="00D64ABA" w:rsidRDefault="00303A10" w:rsidP="00165E3C">
      <w:pPr>
        <w:ind w:left="-720" w:firstLine="720"/>
        <w:jc w:val="both"/>
        <w:rPr>
          <w:sz w:val="28"/>
          <w:szCs w:val="28"/>
        </w:rPr>
      </w:pPr>
      <w:r w:rsidRPr="00D64ABA">
        <w:rPr>
          <w:sz w:val="28"/>
          <w:szCs w:val="28"/>
        </w:rPr>
        <w:t xml:space="preserve"> - по земельному налогу (с 5,1 млн. рублей до 22,3 млн. рублей) связано с ростом кадастровой стоимости земель промышленности;                                                                                                   </w:t>
      </w:r>
    </w:p>
    <w:p w:rsidR="00303A10" w:rsidRPr="00D64ABA" w:rsidRDefault="00303A10" w:rsidP="00165E3C">
      <w:pPr>
        <w:ind w:left="-720" w:firstLine="720"/>
        <w:jc w:val="both"/>
        <w:rPr>
          <w:sz w:val="28"/>
          <w:szCs w:val="28"/>
        </w:rPr>
      </w:pPr>
      <w:r w:rsidRPr="00D64ABA">
        <w:rPr>
          <w:sz w:val="28"/>
          <w:szCs w:val="28"/>
        </w:rPr>
        <w:t xml:space="preserve">- арендной платы за земельные участки, государственная собственность на которые не разграничена на 63,8 млн. рублей, в связи с ростом кадастровой стоимости земельных участков; </w:t>
      </w:r>
    </w:p>
    <w:p w:rsidR="00303A10" w:rsidRPr="00D64ABA" w:rsidRDefault="00303A10" w:rsidP="00165E3C">
      <w:pPr>
        <w:ind w:left="-720" w:firstLine="720"/>
        <w:jc w:val="both"/>
        <w:rPr>
          <w:sz w:val="28"/>
          <w:szCs w:val="28"/>
        </w:rPr>
      </w:pPr>
      <w:r w:rsidRPr="00D64ABA">
        <w:rPr>
          <w:sz w:val="28"/>
          <w:szCs w:val="28"/>
        </w:rPr>
        <w:t xml:space="preserve">- доходы от поступления штрафов, санкций и возмещение ущерба увеличились на 17,7 млн. рублей (с 13,4 млн. рублей до 31,1 млн. рублей) в связи с </w:t>
      </w:r>
      <w:r w:rsidR="00BB2B6D" w:rsidRPr="00D64ABA">
        <w:rPr>
          <w:sz w:val="28"/>
          <w:szCs w:val="28"/>
        </w:rPr>
        <w:t>увеличением</w:t>
      </w:r>
      <w:r w:rsidRPr="00D64ABA">
        <w:rPr>
          <w:sz w:val="28"/>
          <w:szCs w:val="28"/>
        </w:rPr>
        <w:t xml:space="preserve"> поступлений денежных средств по искам о возмещении вреда, причиненного окружающей среде.</w:t>
      </w:r>
    </w:p>
    <w:p w:rsidR="00303A10" w:rsidRPr="00D64ABA" w:rsidRDefault="00303A10" w:rsidP="00165E3C">
      <w:pPr>
        <w:autoSpaceDE w:val="0"/>
        <w:autoSpaceDN w:val="0"/>
        <w:adjustRightInd w:val="0"/>
        <w:ind w:left="-720" w:firstLine="720"/>
        <w:jc w:val="both"/>
        <w:rPr>
          <w:sz w:val="28"/>
          <w:szCs w:val="28"/>
        </w:rPr>
      </w:pPr>
      <w:r w:rsidRPr="00D64ABA">
        <w:rPr>
          <w:sz w:val="28"/>
          <w:szCs w:val="28"/>
        </w:rPr>
        <w:lastRenderedPageBreak/>
        <w:t>Администрацией района для активизации работы по привлечению и изысканию дополнительных резервов поступлений доходов проводятся заседания комиссии по мобилизации дополнительных доходов в бюджет района; проводится работа по выявлению и регистрации обособленных подразделений предприятий, осуществляющих деятельность на территории района; работа с администраторами доходов по информированию об изменениях в области бюджетного законодательства, в части закрепленных за ними кодов доходов бюджетной классификации; заключаются соглашения с организациями о социально-экономическом партнерстве.</w:t>
      </w:r>
    </w:p>
    <w:p w:rsidR="00D801C5" w:rsidRPr="00D64ABA" w:rsidRDefault="00D801C5" w:rsidP="00303A10">
      <w:pPr>
        <w:spacing w:line="259" w:lineRule="auto"/>
        <w:ind w:left="-720" w:firstLine="708"/>
        <w:jc w:val="both"/>
        <w:rPr>
          <w:sz w:val="28"/>
          <w:szCs w:val="28"/>
        </w:rPr>
      </w:pPr>
    </w:p>
    <w:p w:rsidR="008869AA" w:rsidRPr="00D64ABA" w:rsidRDefault="00114976" w:rsidP="00F3578E">
      <w:pPr>
        <w:ind w:left="-720" w:firstLine="708"/>
        <w:jc w:val="center"/>
        <w:rPr>
          <w:b/>
          <w:bCs/>
          <w:i/>
          <w:iCs/>
          <w:sz w:val="28"/>
          <w:szCs w:val="28"/>
        </w:rPr>
      </w:pPr>
      <w:bookmarkStart w:id="6" w:name="_Toc432155652"/>
      <w:bookmarkStart w:id="7" w:name="_Toc432156256"/>
      <w:bookmarkStart w:id="8" w:name="_Toc432156443"/>
      <w:bookmarkStart w:id="9" w:name="_Toc417898050"/>
      <w:bookmarkStart w:id="10" w:name="_Toc418155041"/>
      <w:bookmarkStart w:id="11" w:name="_Toc449537860"/>
      <w:r w:rsidRPr="00D64ABA">
        <w:rPr>
          <w:b/>
          <w:i/>
          <w:sz w:val="28"/>
          <w:szCs w:val="28"/>
        </w:rPr>
        <w:t>Показатель «Доля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культуры»</w:t>
      </w:r>
    </w:p>
    <w:p w:rsidR="00581880" w:rsidRPr="00D64ABA" w:rsidRDefault="009F0551" w:rsidP="00581880">
      <w:pPr>
        <w:pStyle w:val="ab"/>
        <w:shd w:val="clear" w:color="auto" w:fill="FFFFFF"/>
        <w:ind w:left="-720" w:firstLine="720"/>
        <w:jc w:val="both"/>
        <w:rPr>
          <w:sz w:val="20"/>
          <w:szCs w:val="20"/>
        </w:rPr>
      </w:pPr>
      <w:r w:rsidRPr="00D64ABA">
        <w:rPr>
          <w:sz w:val="28"/>
          <w:szCs w:val="28"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составляет 0% (201</w:t>
      </w:r>
      <w:r w:rsidR="00665DAA" w:rsidRPr="00D64ABA">
        <w:rPr>
          <w:sz w:val="28"/>
          <w:szCs w:val="28"/>
        </w:rPr>
        <w:t>5</w:t>
      </w:r>
      <w:r w:rsidRPr="00D64ABA">
        <w:rPr>
          <w:sz w:val="28"/>
          <w:szCs w:val="28"/>
        </w:rPr>
        <w:t xml:space="preserve"> год-0%).  </w:t>
      </w:r>
      <w:r w:rsidR="002714CE" w:rsidRPr="00D64ABA">
        <w:rPr>
          <w:sz w:val="28"/>
          <w:szCs w:val="28"/>
        </w:rPr>
        <w:t>М</w:t>
      </w:r>
      <w:r w:rsidR="008869AA" w:rsidRPr="00D64ABA">
        <w:rPr>
          <w:sz w:val="28"/>
          <w:szCs w:val="28"/>
        </w:rPr>
        <w:t>униципальны</w:t>
      </w:r>
      <w:r w:rsidR="002714CE" w:rsidRPr="00D64ABA">
        <w:rPr>
          <w:sz w:val="28"/>
          <w:szCs w:val="28"/>
        </w:rPr>
        <w:t>е</w:t>
      </w:r>
      <w:r w:rsidR="008869AA" w:rsidRPr="00D64ABA">
        <w:rPr>
          <w:sz w:val="28"/>
          <w:szCs w:val="28"/>
        </w:rPr>
        <w:t xml:space="preserve"> учреждени</w:t>
      </w:r>
      <w:r w:rsidR="002714CE" w:rsidRPr="00D64ABA">
        <w:rPr>
          <w:sz w:val="28"/>
          <w:szCs w:val="28"/>
        </w:rPr>
        <w:t>я</w:t>
      </w:r>
      <w:r w:rsidR="00724CCB" w:rsidRPr="00D64ABA">
        <w:rPr>
          <w:sz w:val="28"/>
          <w:szCs w:val="28"/>
        </w:rPr>
        <w:t xml:space="preserve"> культуры в Нижневартовском районе,</w:t>
      </w:r>
      <w:r w:rsidR="008869AA" w:rsidRPr="00D64ABA">
        <w:rPr>
          <w:sz w:val="28"/>
          <w:szCs w:val="28"/>
        </w:rPr>
        <w:t xml:space="preserve"> здания которых находятся в аварийном состоянии или требуют капитального ремонта, в общем количестве муниципальных учреждений культуры</w:t>
      </w:r>
      <w:r w:rsidR="002714CE" w:rsidRPr="00D64ABA">
        <w:rPr>
          <w:sz w:val="28"/>
          <w:szCs w:val="28"/>
        </w:rPr>
        <w:t>, отсутствуют.</w:t>
      </w:r>
      <w:r w:rsidR="00581880" w:rsidRPr="00D64ABA">
        <w:rPr>
          <w:sz w:val="28"/>
          <w:szCs w:val="28"/>
        </w:rPr>
        <w:t xml:space="preserve"> </w:t>
      </w:r>
    </w:p>
    <w:p w:rsidR="00F3578E" w:rsidRPr="00D64ABA" w:rsidRDefault="00F3578E" w:rsidP="00EB28F5">
      <w:pPr>
        <w:ind w:left="-720" w:right="98" w:firstLine="720"/>
        <w:jc w:val="center"/>
        <w:rPr>
          <w:b/>
          <w:bCs/>
          <w:i/>
          <w:iCs/>
          <w:sz w:val="28"/>
          <w:szCs w:val="28"/>
        </w:rPr>
      </w:pPr>
      <w:r w:rsidRPr="00D64ABA">
        <w:rPr>
          <w:b/>
          <w:i/>
          <w:sz w:val="28"/>
          <w:szCs w:val="28"/>
        </w:rPr>
        <w:t>Показатель «Уровень фактической обеспеченности  учреждениями культуры от нормативной потребности: клубами и учреждениями клубного типа, библиотеками, парками культуры и отдыха»</w:t>
      </w:r>
    </w:p>
    <w:p w:rsidR="00581880" w:rsidRPr="00D64ABA" w:rsidRDefault="00581880" w:rsidP="00EB28F5">
      <w:pPr>
        <w:ind w:left="-720" w:right="98" w:firstLine="720"/>
        <w:jc w:val="both"/>
        <w:rPr>
          <w:sz w:val="28"/>
          <w:szCs w:val="28"/>
        </w:rPr>
      </w:pPr>
      <w:r w:rsidRPr="00D64ABA">
        <w:rPr>
          <w:sz w:val="28"/>
          <w:szCs w:val="28"/>
        </w:rPr>
        <w:t xml:space="preserve"> «Уровень фактической обеспеченности  учреждениями культуры от нормативной потребности: клубами и учреждениями клубного типа, библиотеками, парками культуры и отдыха»:</w:t>
      </w:r>
    </w:p>
    <w:p w:rsidR="00581880" w:rsidRPr="00D64ABA" w:rsidRDefault="00581880" w:rsidP="00EB28F5">
      <w:pPr>
        <w:ind w:left="-720" w:right="98" w:firstLine="720"/>
        <w:jc w:val="both"/>
        <w:rPr>
          <w:color w:val="000000"/>
          <w:sz w:val="28"/>
          <w:szCs w:val="28"/>
        </w:rPr>
      </w:pPr>
      <w:r w:rsidRPr="00D64ABA">
        <w:rPr>
          <w:color w:val="000000"/>
          <w:sz w:val="28"/>
          <w:szCs w:val="28"/>
        </w:rPr>
        <w:t>Уровень фактической обеспеченности учреждениями культуры от нормативной потребности клубами и учреждениями клубного типа</w:t>
      </w:r>
      <w:r w:rsidRPr="00D64ABA">
        <w:rPr>
          <w:color w:val="000000"/>
          <w:sz w:val="28"/>
          <w:szCs w:val="28"/>
        </w:rPr>
        <w:br/>
        <w:t>в районе составляет 86,4% (2015 год – 86,4%).</w:t>
      </w:r>
    </w:p>
    <w:p w:rsidR="00581880" w:rsidRPr="00D64ABA" w:rsidRDefault="00581880" w:rsidP="00EB28F5">
      <w:pPr>
        <w:ind w:left="-720" w:right="98" w:firstLine="720"/>
        <w:jc w:val="both"/>
        <w:rPr>
          <w:sz w:val="28"/>
          <w:szCs w:val="28"/>
        </w:rPr>
      </w:pPr>
      <w:r w:rsidRPr="00D64ABA">
        <w:rPr>
          <w:color w:val="000000"/>
          <w:sz w:val="28"/>
          <w:szCs w:val="28"/>
        </w:rPr>
        <w:t>Уровень фактической обеспеченности учреждениями культуры от нормативной потребности библиотеками составляет 116,6% (2015 год – 114,5%).  По нормативу требуемое количество общедоступных библиотек в Нижневартовском районе составляет 21 единицу. Для удовлетворения потребностей жителей район</w:t>
      </w:r>
      <w:r w:rsidR="00EB28F5" w:rsidRPr="00D64ABA">
        <w:rPr>
          <w:color w:val="000000"/>
          <w:sz w:val="28"/>
          <w:szCs w:val="28"/>
        </w:rPr>
        <w:t>а</w:t>
      </w:r>
      <w:r w:rsidRPr="00D64ABA">
        <w:rPr>
          <w:color w:val="000000"/>
          <w:sz w:val="28"/>
          <w:szCs w:val="28"/>
        </w:rPr>
        <w:t>, в том числе  проживающих в отдаленных населенных пунктах,  в получении информационно – библиотечных услуг в районе действует  19 библиотек и 61 отдел внестационарного обслуживания.</w:t>
      </w:r>
    </w:p>
    <w:p w:rsidR="00581880" w:rsidRPr="00D64ABA" w:rsidRDefault="00581880" w:rsidP="00581880">
      <w:pPr>
        <w:pStyle w:val="af2"/>
        <w:spacing w:line="240" w:lineRule="auto"/>
        <w:ind w:left="-720" w:right="-284" w:firstLine="720"/>
        <w:jc w:val="both"/>
        <w:rPr>
          <w:sz w:val="28"/>
          <w:szCs w:val="28"/>
        </w:rPr>
      </w:pPr>
    </w:p>
    <w:bookmarkEnd w:id="6"/>
    <w:bookmarkEnd w:id="7"/>
    <w:bookmarkEnd w:id="8"/>
    <w:bookmarkEnd w:id="9"/>
    <w:bookmarkEnd w:id="10"/>
    <w:bookmarkEnd w:id="11"/>
    <w:p w:rsidR="009454AB" w:rsidRPr="00D64ABA" w:rsidRDefault="009454AB" w:rsidP="00581880">
      <w:pPr>
        <w:ind w:left="-720" w:firstLine="720"/>
        <w:jc w:val="center"/>
        <w:rPr>
          <w:b/>
          <w:i/>
          <w:color w:val="000000"/>
          <w:sz w:val="28"/>
          <w:szCs w:val="28"/>
        </w:rPr>
      </w:pPr>
      <w:r w:rsidRPr="00D64ABA">
        <w:rPr>
          <w:b/>
          <w:i/>
          <w:sz w:val="28"/>
          <w:szCs w:val="28"/>
        </w:rPr>
        <w:t xml:space="preserve">Показатель </w:t>
      </w:r>
      <w:bookmarkStart w:id="12" w:name="_Toc449538880"/>
      <w:r w:rsidRPr="00D64ABA">
        <w:rPr>
          <w:b/>
          <w:bCs/>
          <w:i/>
          <w:sz w:val="28"/>
          <w:szCs w:val="28"/>
        </w:rPr>
        <w:t>«</w:t>
      </w:r>
      <w:r w:rsidRPr="00D64ABA">
        <w:rPr>
          <w:b/>
          <w:i/>
          <w:color w:val="000000"/>
          <w:sz w:val="28"/>
          <w:szCs w:val="28"/>
        </w:rPr>
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</w:r>
      <w:bookmarkEnd w:id="12"/>
      <w:r w:rsidRPr="00D64ABA">
        <w:rPr>
          <w:b/>
          <w:i/>
          <w:color w:val="000000"/>
          <w:sz w:val="28"/>
          <w:szCs w:val="28"/>
        </w:rPr>
        <w:t>»</w:t>
      </w:r>
    </w:p>
    <w:p w:rsidR="00262881" w:rsidRPr="00D64ABA" w:rsidRDefault="00262881" w:rsidP="00581880">
      <w:pPr>
        <w:ind w:left="-720" w:firstLine="720"/>
        <w:jc w:val="center"/>
        <w:rPr>
          <w:b/>
          <w:i/>
          <w:color w:val="000000"/>
          <w:sz w:val="28"/>
          <w:szCs w:val="28"/>
        </w:rPr>
      </w:pPr>
    </w:p>
    <w:p w:rsidR="00262881" w:rsidRPr="00D64ABA" w:rsidRDefault="00262881" w:rsidP="00581880">
      <w:pPr>
        <w:ind w:left="-720" w:firstLine="720"/>
        <w:jc w:val="both"/>
        <w:rPr>
          <w:color w:val="000000"/>
          <w:sz w:val="28"/>
          <w:szCs w:val="28"/>
        </w:rPr>
      </w:pPr>
      <w:r w:rsidRPr="00D64ABA">
        <w:rPr>
          <w:color w:val="000000"/>
          <w:sz w:val="28"/>
          <w:szCs w:val="28"/>
        </w:rPr>
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 составляет 100%</w:t>
      </w:r>
      <w:r w:rsidR="001464B7" w:rsidRPr="00D64ABA">
        <w:rPr>
          <w:color w:val="000000"/>
          <w:sz w:val="28"/>
          <w:szCs w:val="28"/>
        </w:rPr>
        <w:t xml:space="preserve"> (2015 год -100%)</w:t>
      </w:r>
      <w:r w:rsidRPr="00D64ABA">
        <w:rPr>
          <w:color w:val="000000"/>
          <w:sz w:val="28"/>
          <w:szCs w:val="28"/>
        </w:rPr>
        <w:t>.</w:t>
      </w:r>
    </w:p>
    <w:p w:rsidR="00262881" w:rsidRPr="00D64ABA" w:rsidRDefault="00262881" w:rsidP="00581880">
      <w:pPr>
        <w:ind w:left="-720" w:firstLine="720"/>
        <w:jc w:val="both"/>
        <w:rPr>
          <w:color w:val="000000"/>
          <w:sz w:val="28"/>
          <w:szCs w:val="28"/>
        </w:rPr>
      </w:pPr>
      <w:r w:rsidRPr="00D64ABA">
        <w:rPr>
          <w:bCs/>
          <w:color w:val="000000"/>
          <w:sz w:val="28"/>
          <w:szCs w:val="28"/>
        </w:rPr>
        <w:lastRenderedPageBreak/>
        <w:t>Во всех многоквартирных домах на территории района, собственники помещений выбрали и реализуют один из способов управления многоквартирными домами</w:t>
      </w:r>
    </w:p>
    <w:p w:rsidR="00262881" w:rsidRPr="00D64ABA" w:rsidRDefault="00262881" w:rsidP="00581880">
      <w:pPr>
        <w:ind w:left="-720" w:firstLine="720"/>
        <w:jc w:val="center"/>
        <w:rPr>
          <w:b/>
          <w:bCs/>
          <w:i/>
          <w:sz w:val="28"/>
          <w:szCs w:val="28"/>
        </w:rPr>
      </w:pPr>
    </w:p>
    <w:p w:rsidR="00262881" w:rsidRPr="00D64ABA" w:rsidRDefault="009454AB" w:rsidP="00581880">
      <w:pPr>
        <w:ind w:left="-720" w:firstLine="720"/>
        <w:jc w:val="center"/>
        <w:rPr>
          <w:b/>
          <w:i/>
          <w:color w:val="000000"/>
          <w:sz w:val="28"/>
          <w:szCs w:val="28"/>
        </w:rPr>
      </w:pPr>
      <w:bookmarkStart w:id="13" w:name="_Toc449538998"/>
      <w:r w:rsidRPr="00D64ABA">
        <w:rPr>
          <w:b/>
          <w:i/>
          <w:sz w:val="28"/>
          <w:szCs w:val="28"/>
        </w:rPr>
        <w:t xml:space="preserve">Показатель </w:t>
      </w:r>
      <w:r w:rsidRPr="00D64ABA">
        <w:rPr>
          <w:b/>
          <w:i/>
          <w:color w:val="000000"/>
          <w:sz w:val="28"/>
          <w:szCs w:val="28"/>
        </w:rPr>
        <w:t>«Доля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 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</w:r>
      <w:bookmarkEnd w:id="13"/>
      <w:r w:rsidRPr="00D64ABA">
        <w:rPr>
          <w:b/>
          <w:i/>
          <w:color w:val="000000"/>
          <w:sz w:val="28"/>
          <w:szCs w:val="28"/>
        </w:rPr>
        <w:t>»</w:t>
      </w:r>
      <w:bookmarkStart w:id="14" w:name="_Toc449539007"/>
    </w:p>
    <w:p w:rsidR="00262881" w:rsidRPr="00D64ABA" w:rsidRDefault="00262881" w:rsidP="00581880">
      <w:pPr>
        <w:ind w:left="-720" w:firstLine="720"/>
        <w:jc w:val="both"/>
        <w:rPr>
          <w:color w:val="000000"/>
          <w:sz w:val="28"/>
          <w:szCs w:val="28"/>
        </w:rPr>
      </w:pPr>
      <w:r w:rsidRPr="00D64ABA">
        <w:rPr>
          <w:color w:val="000000"/>
          <w:sz w:val="28"/>
          <w:szCs w:val="28"/>
        </w:rPr>
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 процентов, в общем числе организаций коммунального комплекса, осуществляющих свою деятельность на территории Нижневартовского района составила 85,7%</w:t>
      </w:r>
      <w:r w:rsidR="001464B7" w:rsidRPr="00D64ABA">
        <w:rPr>
          <w:color w:val="000000"/>
          <w:sz w:val="28"/>
          <w:szCs w:val="28"/>
        </w:rPr>
        <w:t xml:space="preserve"> (2015 год -85,7%)</w:t>
      </w:r>
      <w:r w:rsidRPr="00D64ABA">
        <w:rPr>
          <w:color w:val="000000"/>
          <w:sz w:val="28"/>
          <w:szCs w:val="28"/>
        </w:rPr>
        <w:t xml:space="preserve">. </w:t>
      </w:r>
    </w:p>
    <w:p w:rsidR="009454AB" w:rsidRDefault="00262881" w:rsidP="00993D62">
      <w:pPr>
        <w:pStyle w:val="1"/>
        <w:spacing w:before="0" w:line="240" w:lineRule="auto"/>
        <w:ind w:left="-720" w:firstLine="720"/>
        <w:jc w:val="both"/>
        <w:rPr>
          <w:b/>
          <w:i/>
          <w:sz w:val="28"/>
          <w:szCs w:val="28"/>
        </w:rPr>
      </w:pPr>
      <w:r w:rsidRPr="00D64ABA">
        <w:rPr>
          <w:rFonts w:ascii="Times New Roman" w:hAnsi="Times New Roman" w:cs="Times New Roman"/>
          <w:color w:val="000000"/>
          <w:sz w:val="28"/>
          <w:szCs w:val="28"/>
        </w:rPr>
        <w:t>На территории района осуществляют свою деятельность 7 организаций коммунального комплекса. Из них 6 организаций коммунального комплекса частной формы собственности, участие муниципального образования в уставном капитале которых  составляет не более 25%.</w:t>
      </w:r>
      <w:bookmarkEnd w:id="14"/>
    </w:p>
    <w:p w:rsidR="009454AB" w:rsidRDefault="009454AB" w:rsidP="00581880">
      <w:pPr>
        <w:ind w:left="-720" w:firstLine="720"/>
        <w:jc w:val="both"/>
        <w:rPr>
          <w:b/>
          <w:i/>
          <w:color w:val="000000"/>
          <w:sz w:val="28"/>
          <w:szCs w:val="28"/>
        </w:rPr>
      </w:pPr>
    </w:p>
    <w:p w:rsidR="001E4765" w:rsidRPr="0078273E" w:rsidRDefault="001E4765" w:rsidP="00581880">
      <w:pPr>
        <w:ind w:left="-720" w:firstLine="720"/>
        <w:jc w:val="both"/>
        <w:rPr>
          <w:sz w:val="28"/>
          <w:szCs w:val="28"/>
        </w:rPr>
      </w:pPr>
    </w:p>
    <w:sectPr w:rsidR="001E4765" w:rsidRPr="0078273E" w:rsidSect="00262881">
      <w:pgSz w:w="11906" w:h="16838" w:code="9"/>
      <w:pgMar w:top="1134" w:right="567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9A4" w:rsidRDefault="002609A4">
      <w:r>
        <w:separator/>
      </w:r>
    </w:p>
  </w:endnote>
  <w:endnote w:type="continuationSeparator" w:id="1">
    <w:p w:rsidR="002609A4" w:rsidRDefault="00260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9A4" w:rsidRDefault="002609A4">
      <w:r>
        <w:separator/>
      </w:r>
    </w:p>
  </w:footnote>
  <w:footnote w:type="continuationSeparator" w:id="1">
    <w:p w:rsidR="002609A4" w:rsidRDefault="002609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1655A"/>
    <w:multiLevelType w:val="hybridMultilevel"/>
    <w:tmpl w:val="49F0D92E"/>
    <w:lvl w:ilvl="0" w:tplc="D19A92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860"/>
    <w:rsid w:val="00001F1D"/>
    <w:rsid w:val="00013405"/>
    <w:rsid w:val="000168DE"/>
    <w:rsid w:val="0004666A"/>
    <w:rsid w:val="000645F9"/>
    <w:rsid w:val="000739F8"/>
    <w:rsid w:val="000768EA"/>
    <w:rsid w:val="00083007"/>
    <w:rsid w:val="000937AF"/>
    <w:rsid w:val="000B1477"/>
    <w:rsid w:val="000F23E7"/>
    <w:rsid w:val="000F3505"/>
    <w:rsid w:val="000F4F04"/>
    <w:rsid w:val="00101CC3"/>
    <w:rsid w:val="0011352B"/>
    <w:rsid w:val="00114976"/>
    <w:rsid w:val="00121116"/>
    <w:rsid w:val="00123329"/>
    <w:rsid w:val="00134FDB"/>
    <w:rsid w:val="001464B7"/>
    <w:rsid w:val="0015744D"/>
    <w:rsid w:val="00165E3C"/>
    <w:rsid w:val="00183F8B"/>
    <w:rsid w:val="001A7860"/>
    <w:rsid w:val="001B09DC"/>
    <w:rsid w:val="001B4DB9"/>
    <w:rsid w:val="001B575D"/>
    <w:rsid w:val="001B7284"/>
    <w:rsid w:val="001B7F18"/>
    <w:rsid w:val="001C7CF2"/>
    <w:rsid w:val="001D2D13"/>
    <w:rsid w:val="001E4379"/>
    <w:rsid w:val="001E4765"/>
    <w:rsid w:val="001E705E"/>
    <w:rsid w:val="001F6249"/>
    <w:rsid w:val="002026B5"/>
    <w:rsid w:val="0022310C"/>
    <w:rsid w:val="0022711C"/>
    <w:rsid w:val="0023093D"/>
    <w:rsid w:val="002344E5"/>
    <w:rsid w:val="00240193"/>
    <w:rsid w:val="00240F1F"/>
    <w:rsid w:val="002429A9"/>
    <w:rsid w:val="00246F2A"/>
    <w:rsid w:val="002512E5"/>
    <w:rsid w:val="002533C8"/>
    <w:rsid w:val="00255399"/>
    <w:rsid w:val="002609A4"/>
    <w:rsid w:val="00262881"/>
    <w:rsid w:val="002714CE"/>
    <w:rsid w:val="00283043"/>
    <w:rsid w:val="00285A1D"/>
    <w:rsid w:val="002943B6"/>
    <w:rsid w:val="002A2F13"/>
    <w:rsid w:val="002A5B2E"/>
    <w:rsid w:val="002B055D"/>
    <w:rsid w:val="002E08A1"/>
    <w:rsid w:val="00302C5A"/>
    <w:rsid w:val="00303547"/>
    <w:rsid w:val="00303A10"/>
    <w:rsid w:val="0031269F"/>
    <w:rsid w:val="00321CFE"/>
    <w:rsid w:val="00327D57"/>
    <w:rsid w:val="00327E6F"/>
    <w:rsid w:val="003350A7"/>
    <w:rsid w:val="00354A7B"/>
    <w:rsid w:val="003676FD"/>
    <w:rsid w:val="0037543A"/>
    <w:rsid w:val="003839B9"/>
    <w:rsid w:val="0038693B"/>
    <w:rsid w:val="003A640A"/>
    <w:rsid w:val="003D10BF"/>
    <w:rsid w:val="003E5CB0"/>
    <w:rsid w:val="00402280"/>
    <w:rsid w:val="00416361"/>
    <w:rsid w:val="00417E80"/>
    <w:rsid w:val="00441C54"/>
    <w:rsid w:val="00466431"/>
    <w:rsid w:val="00477A6E"/>
    <w:rsid w:val="00485C77"/>
    <w:rsid w:val="004C401D"/>
    <w:rsid w:val="004C4F40"/>
    <w:rsid w:val="004C7DDA"/>
    <w:rsid w:val="004F0557"/>
    <w:rsid w:val="00504571"/>
    <w:rsid w:val="0052140A"/>
    <w:rsid w:val="00521D50"/>
    <w:rsid w:val="0052454D"/>
    <w:rsid w:val="00543193"/>
    <w:rsid w:val="00551100"/>
    <w:rsid w:val="00557186"/>
    <w:rsid w:val="00561915"/>
    <w:rsid w:val="00572E87"/>
    <w:rsid w:val="00573D80"/>
    <w:rsid w:val="00581880"/>
    <w:rsid w:val="00585A48"/>
    <w:rsid w:val="005A57AD"/>
    <w:rsid w:val="005A72D3"/>
    <w:rsid w:val="005B1D9D"/>
    <w:rsid w:val="005B4F9F"/>
    <w:rsid w:val="005D423D"/>
    <w:rsid w:val="005F0409"/>
    <w:rsid w:val="005F32F4"/>
    <w:rsid w:val="005F58E9"/>
    <w:rsid w:val="006021BB"/>
    <w:rsid w:val="006049DD"/>
    <w:rsid w:val="00622E66"/>
    <w:rsid w:val="006233BA"/>
    <w:rsid w:val="006317DC"/>
    <w:rsid w:val="00665DAA"/>
    <w:rsid w:val="00672681"/>
    <w:rsid w:val="00674E71"/>
    <w:rsid w:val="00691AD4"/>
    <w:rsid w:val="006B1882"/>
    <w:rsid w:val="006B6E09"/>
    <w:rsid w:val="006C5A02"/>
    <w:rsid w:val="006C7485"/>
    <w:rsid w:val="006D6950"/>
    <w:rsid w:val="006D7D25"/>
    <w:rsid w:val="006E3F37"/>
    <w:rsid w:val="006F26B7"/>
    <w:rsid w:val="006F7011"/>
    <w:rsid w:val="00707F16"/>
    <w:rsid w:val="007136A1"/>
    <w:rsid w:val="007140E8"/>
    <w:rsid w:val="00724CCB"/>
    <w:rsid w:val="0073106E"/>
    <w:rsid w:val="00731EC9"/>
    <w:rsid w:val="0074493A"/>
    <w:rsid w:val="007541D9"/>
    <w:rsid w:val="00755DEF"/>
    <w:rsid w:val="007668E3"/>
    <w:rsid w:val="0078273E"/>
    <w:rsid w:val="007A1EFD"/>
    <w:rsid w:val="007C211D"/>
    <w:rsid w:val="007D2FEC"/>
    <w:rsid w:val="007D617B"/>
    <w:rsid w:val="007F2D27"/>
    <w:rsid w:val="007F6061"/>
    <w:rsid w:val="00802EE4"/>
    <w:rsid w:val="0081006F"/>
    <w:rsid w:val="0082479D"/>
    <w:rsid w:val="008652D0"/>
    <w:rsid w:val="008869AA"/>
    <w:rsid w:val="008915CD"/>
    <w:rsid w:val="0089794D"/>
    <w:rsid w:val="008A5A2F"/>
    <w:rsid w:val="008C1E0A"/>
    <w:rsid w:val="008D6BBE"/>
    <w:rsid w:val="008D6D74"/>
    <w:rsid w:val="008D77AB"/>
    <w:rsid w:val="008F450F"/>
    <w:rsid w:val="009076F4"/>
    <w:rsid w:val="00912605"/>
    <w:rsid w:val="00931D84"/>
    <w:rsid w:val="00932FD6"/>
    <w:rsid w:val="009454AB"/>
    <w:rsid w:val="009553BC"/>
    <w:rsid w:val="00957830"/>
    <w:rsid w:val="0096799E"/>
    <w:rsid w:val="0097032F"/>
    <w:rsid w:val="0098754C"/>
    <w:rsid w:val="0099332F"/>
    <w:rsid w:val="0099376E"/>
    <w:rsid w:val="00993D62"/>
    <w:rsid w:val="009D0062"/>
    <w:rsid w:val="009D6BBC"/>
    <w:rsid w:val="009E2072"/>
    <w:rsid w:val="009F0551"/>
    <w:rsid w:val="009F3513"/>
    <w:rsid w:val="009F4AF8"/>
    <w:rsid w:val="009F5C57"/>
    <w:rsid w:val="00A1308F"/>
    <w:rsid w:val="00A13DEA"/>
    <w:rsid w:val="00A15B11"/>
    <w:rsid w:val="00A16DE8"/>
    <w:rsid w:val="00A20045"/>
    <w:rsid w:val="00A4258A"/>
    <w:rsid w:val="00A5383E"/>
    <w:rsid w:val="00A62102"/>
    <w:rsid w:val="00A6746E"/>
    <w:rsid w:val="00A67F7E"/>
    <w:rsid w:val="00A73AC5"/>
    <w:rsid w:val="00A80FC5"/>
    <w:rsid w:val="00A9639F"/>
    <w:rsid w:val="00AE0898"/>
    <w:rsid w:val="00AE1587"/>
    <w:rsid w:val="00AF5E0F"/>
    <w:rsid w:val="00B07449"/>
    <w:rsid w:val="00B50F43"/>
    <w:rsid w:val="00B51CA7"/>
    <w:rsid w:val="00B60494"/>
    <w:rsid w:val="00B65377"/>
    <w:rsid w:val="00B662AB"/>
    <w:rsid w:val="00B73B1E"/>
    <w:rsid w:val="00B92333"/>
    <w:rsid w:val="00B96004"/>
    <w:rsid w:val="00BA749D"/>
    <w:rsid w:val="00BB2B6D"/>
    <w:rsid w:val="00BD17B2"/>
    <w:rsid w:val="00BD2562"/>
    <w:rsid w:val="00BD2BB7"/>
    <w:rsid w:val="00BE0940"/>
    <w:rsid w:val="00BE2709"/>
    <w:rsid w:val="00BF5CCA"/>
    <w:rsid w:val="00C0185A"/>
    <w:rsid w:val="00C04860"/>
    <w:rsid w:val="00C0514D"/>
    <w:rsid w:val="00C0549F"/>
    <w:rsid w:val="00C070B3"/>
    <w:rsid w:val="00C07509"/>
    <w:rsid w:val="00C12AF3"/>
    <w:rsid w:val="00C24D0D"/>
    <w:rsid w:val="00C35C82"/>
    <w:rsid w:val="00C42D7A"/>
    <w:rsid w:val="00C71A45"/>
    <w:rsid w:val="00C931FE"/>
    <w:rsid w:val="00CC417F"/>
    <w:rsid w:val="00CC772E"/>
    <w:rsid w:val="00CD1AFE"/>
    <w:rsid w:val="00D0126A"/>
    <w:rsid w:val="00D16312"/>
    <w:rsid w:val="00D16D12"/>
    <w:rsid w:val="00D30518"/>
    <w:rsid w:val="00D32DBD"/>
    <w:rsid w:val="00D44725"/>
    <w:rsid w:val="00D64ABA"/>
    <w:rsid w:val="00D733E1"/>
    <w:rsid w:val="00D801C5"/>
    <w:rsid w:val="00D81442"/>
    <w:rsid w:val="00D95094"/>
    <w:rsid w:val="00DC68F4"/>
    <w:rsid w:val="00DE63DE"/>
    <w:rsid w:val="00E128B3"/>
    <w:rsid w:val="00E20578"/>
    <w:rsid w:val="00E23D9E"/>
    <w:rsid w:val="00E270B0"/>
    <w:rsid w:val="00E33EB3"/>
    <w:rsid w:val="00E43BFD"/>
    <w:rsid w:val="00E6096B"/>
    <w:rsid w:val="00E6119F"/>
    <w:rsid w:val="00E64D29"/>
    <w:rsid w:val="00E7432B"/>
    <w:rsid w:val="00E76163"/>
    <w:rsid w:val="00E851E3"/>
    <w:rsid w:val="00E91C3A"/>
    <w:rsid w:val="00E9625D"/>
    <w:rsid w:val="00E97970"/>
    <w:rsid w:val="00EA7981"/>
    <w:rsid w:val="00EB1A12"/>
    <w:rsid w:val="00EB28F5"/>
    <w:rsid w:val="00EC35D0"/>
    <w:rsid w:val="00ED2077"/>
    <w:rsid w:val="00EE57A9"/>
    <w:rsid w:val="00EE6697"/>
    <w:rsid w:val="00EE6722"/>
    <w:rsid w:val="00F02912"/>
    <w:rsid w:val="00F05683"/>
    <w:rsid w:val="00F05BC3"/>
    <w:rsid w:val="00F173C1"/>
    <w:rsid w:val="00F25C64"/>
    <w:rsid w:val="00F32A2E"/>
    <w:rsid w:val="00F3578E"/>
    <w:rsid w:val="00F41838"/>
    <w:rsid w:val="00F5186C"/>
    <w:rsid w:val="00F528AB"/>
    <w:rsid w:val="00F6142D"/>
    <w:rsid w:val="00F669D0"/>
    <w:rsid w:val="00F72323"/>
    <w:rsid w:val="00F93260"/>
    <w:rsid w:val="00F94900"/>
    <w:rsid w:val="00FA38DB"/>
    <w:rsid w:val="00FB4DEF"/>
    <w:rsid w:val="00FB6187"/>
    <w:rsid w:val="00FB62A1"/>
    <w:rsid w:val="00FB71B3"/>
    <w:rsid w:val="00FC7E78"/>
    <w:rsid w:val="00FD7BB1"/>
    <w:rsid w:val="00FE0FF9"/>
    <w:rsid w:val="00FE2B7C"/>
    <w:rsid w:val="00FF4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01C5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uiPriority w:val="99"/>
    <w:rsid w:val="001A7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uiPriority w:val="99"/>
    <w:rsid w:val="001A786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A786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4">
    <w:name w:val="Hyperlink"/>
    <w:basedOn w:val="a0"/>
    <w:rsid w:val="001A7860"/>
    <w:rPr>
      <w:color w:val="0000FF"/>
      <w:u w:val="single"/>
    </w:rPr>
  </w:style>
  <w:style w:type="table" w:styleId="a5">
    <w:name w:val="Table Grid"/>
    <w:basedOn w:val="a1"/>
    <w:uiPriority w:val="59"/>
    <w:rsid w:val="001A7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1A78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A78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+14п"/>
    <w:basedOn w:val="a8"/>
    <w:uiPriority w:val="99"/>
    <w:rsid w:val="002943B6"/>
    <w:pPr>
      <w:spacing w:line="360" w:lineRule="auto"/>
      <w:ind w:firstLine="709"/>
      <w:jc w:val="both"/>
      <w:outlineLvl w:val="0"/>
    </w:pPr>
    <w:rPr>
      <w:bCs/>
      <w:kern w:val="36"/>
    </w:rPr>
  </w:style>
  <w:style w:type="character" w:styleId="a9">
    <w:name w:val="Strong"/>
    <w:basedOn w:val="a0"/>
    <w:qFormat/>
    <w:rsid w:val="002943B6"/>
    <w:rPr>
      <w:rFonts w:cs="Times New Roman"/>
      <w:b/>
      <w:bCs/>
    </w:rPr>
  </w:style>
  <w:style w:type="paragraph" w:styleId="a8">
    <w:name w:val="Body Text"/>
    <w:basedOn w:val="a"/>
    <w:link w:val="aa"/>
    <w:uiPriority w:val="99"/>
    <w:semiHidden/>
    <w:unhideWhenUsed/>
    <w:rsid w:val="002943B6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94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6C5A02"/>
    <w:pPr>
      <w:spacing w:before="100" w:beforeAutospacing="1" w:after="100" w:afterAutospacing="1"/>
    </w:pPr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D801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qFormat/>
    <w:rsid w:val="00D801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05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055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F949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basedOn w:val="a0"/>
    <w:link w:val="ae"/>
    <w:uiPriority w:val="1"/>
    <w:locked/>
    <w:rsid w:val="00F94900"/>
    <w:rPr>
      <w:rFonts w:ascii="Calibri" w:eastAsia="Times New Roman" w:hAnsi="Calibri" w:cs="Times New Roman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8188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818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"/>
    <w:link w:val="af3"/>
    <w:qFormat/>
    <w:rsid w:val="00581880"/>
    <w:pPr>
      <w:spacing w:line="360" w:lineRule="auto"/>
    </w:pPr>
    <w:rPr>
      <w:szCs w:val="20"/>
    </w:rPr>
  </w:style>
  <w:style w:type="character" w:customStyle="1" w:styleId="af3">
    <w:name w:val="Подзаголовок Знак"/>
    <w:basedOn w:val="a0"/>
    <w:link w:val="af2"/>
    <w:rsid w:val="0058188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uiPriority w:val="99"/>
    <w:rsid w:val="001A7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uiPriority w:val="99"/>
    <w:rsid w:val="001A786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A786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4">
    <w:name w:val="Hyperlink"/>
    <w:basedOn w:val="a0"/>
    <w:rsid w:val="001A7860"/>
    <w:rPr>
      <w:color w:val="0000FF"/>
      <w:u w:val="single"/>
    </w:rPr>
  </w:style>
  <w:style w:type="table" w:styleId="a5">
    <w:name w:val="Table Grid"/>
    <w:basedOn w:val="a1"/>
    <w:uiPriority w:val="59"/>
    <w:rsid w:val="001A7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1A78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A78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+14п"/>
    <w:basedOn w:val="a8"/>
    <w:uiPriority w:val="99"/>
    <w:rsid w:val="002943B6"/>
    <w:pPr>
      <w:spacing w:line="360" w:lineRule="auto"/>
      <w:ind w:firstLine="709"/>
      <w:jc w:val="both"/>
      <w:outlineLvl w:val="0"/>
    </w:pPr>
    <w:rPr>
      <w:bCs/>
      <w:kern w:val="36"/>
    </w:rPr>
  </w:style>
  <w:style w:type="character" w:styleId="a9">
    <w:name w:val="Strong"/>
    <w:basedOn w:val="a0"/>
    <w:qFormat/>
    <w:rsid w:val="002943B6"/>
    <w:rPr>
      <w:rFonts w:cs="Times New Roman"/>
      <w:b/>
      <w:bCs/>
    </w:rPr>
  </w:style>
  <w:style w:type="paragraph" w:styleId="a8">
    <w:name w:val="Body Text"/>
    <w:basedOn w:val="a"/>
    <w:link w:val="aa"/>
    <w:uiPriority w:val="99"/>
    <w:semiHidden/>
    <w:unhideWhenUsed/>
    <w:rsid w:val="002943B6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943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BA8C7-FFB7-4DA4-A26C-3BF929AC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7</Pages>
  <Words>2588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ZarbalievaEM</dc:creator>
  <cp:lastModifiedBy>AleksandrovaIY</cp:lastModifiedBy>
  <cp:revision>71</cp:revision>
  <cp:lastPrinted>2017-09-01T05:34:00Z</cp:lastPrinted>
  <dcterms:created xsi:type="dcterms:W3CDTF">2015-08-17T10:30:00Z</dcterms:created>
  <dcterms:modified xsi:type="dcterms:W3CDTF">2017-09-01T09:18:00Z</dcterms:modified>
</cp:coreProperties>
</file>