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F2" w:rsidRPr="006317DC" w:rsidRDefault="0073106E" w:rsidP="00C0549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317DC">
        <w:rPr>
          <w:b/>
          <w:bCs/>
          <w:sz w:val="32"/>
          <w:szCs w:val="32"/>
        </w:rPr>
        <w:t>И</w:t>
      </w:r>
      <w:r w:rsidR="001A7860" w:rsidRPr="006317DC">
        <w:rPr>
          <w:b/>
          <w:bCs/>
          <w:sz w:val="32"/>
          <w:szCs w:val="32"/>
        </w:rPr>
        <w:t>нформаци</w:t>
      </w:r>
      <w:r w:rsidRPr="006317DC">
        <w:rPr>
          <w:b/>
          <w:bCs/>
          <w:sz w:val="32"/>
          <w:szCs w:val="32"/>
        </w:rPr>
        <w:t xml:space="preserve">я </w:t>
      </w:r>
      <w:r w:rsidR="001A7860" w:rsidRPr="006317DC">
        <w:rPr>
          <w:b/>
          <w:bCs/>
          <w:sz w:val="32"/>
          <w:szCs w:val="32"/>
        </w:rPr>
        <w:t xml:space="preserve"> о практике достижения наилучш</w:t>
      </w:r>
      <w:r w:rsidRPr="006317DC">
        <w:rPr>
          <w:b/>
          <w:bCs/>
          <w:sz w:val="32"/>
          <w:szCs w:val="32"/>
        </w:rPr>
        <w:t>их</w:t>
      </w:r>
    </w:p>
    <w:p w:rsidR="0073106E" w:rsidRPr="006317DC" w:rsidRDefault="001A7860" w:rsidP="00C0549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317DC">
        <w:rPr>
          <w:b/>
          <w:bCs/>
          <w:sz w:val="32"/>
          <w:szCs w:val="32"/>
        </w:rPr>
        <w:t>значени</w:t>
      </w:r>
      <w:r w:rsidR="0073106E" w:rsidRPr="006317DC">
        <w:rPr>
          <w:b/>
          <w:bCs/>
          <w:sz w:val="32"/>
          <w:szCs w:val="32"/>
        </w:rPr>
        <w:t>й</w:t>
      </w:r>
      <w:r w:rsidRPr="006317DC">
        <w:rPr>
          <w:b/>
          <w:bCs/>
          <w:sz w:val="32"/>
          <w:szCs w:val="32"/>
        </w:rPr>
        <w:t xml:space="preserve"> показател</w:t>
      </w:r>
      <w:r w:rsidR="0073106E" w:rsidRPr="006317DC">
        <w:rPr>
          <w:b/>
          <w:bCs/>
          <w:sz w:val="32"/>
          <w:szCs w:val="32"/>
        </w:rPr>
        <w:t>ей</w:t>
      </w:r>
      <w:r w:rsidR="006233BA" w:rsidRPr="006317DC">
        <w:rPr>
          <w:b/>
          <w:bCs/>
          <w:sz w:val="32"/>
          <w:szCs w:val="32"/>
        </w:rPr>
        <w:t xml:space="preserve"> </w:t>
      </w:r>
      <w:r w:rsidRPr="006317DC">
        <w:rPr>
          <w:b/>
          <w:bCs/>
          <w:sz w:val="32"/>
          <w:szCs w:val="32"/>
        </w:rPr>
        <w:t>за 201</w:t>
      </w:r>
      <w:r w:rsidR="00622E66">
        <w:rPr>
          <w:b/>
          <w:bCs/>
          <w:sz w:val="32"/>
          <w:szCs w:val="32"/>
        </w:rPr>
        <w:t>5</w:t>
      </w:r>
      <w:r w:rsidRPr="006317DC">
        <w:rPr>
          <w:b/>
          <w:bCs/>
          <w:sz w:val="32"/>
          <w:szCs w:val="32"/>
        </w:rPr>
        <w:t xml:space="preserve"> год</w:t>
      </w:r>
    </w:p>
    <w:p w:rsidR="009E2072" w:rsidRPr="006317DC" w:rsidRDefault="009E2072" w:rsidP="0073106E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801C5" w:rsidRPr="00C24771" w:rsidRDefault="00D801C5" w:rsidP="00262881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C24771">
        <w:rPr>
          <w:b/>
          <w:i/>
          <w:sz w:val="28"/>
          <w:szCs w:val="28"/>
        </w:rPr>
        <w:t>Показатель «Число субъектов малого и среднего предпринимательства в расчете на 10 тыс. человек населения»</w:t>
      </w:r>
    </w:p>
    <w:p w:rsidR="00D801C5" w:rsidRPr="00C24771" w:rsidRDefault="00D801C5" w:rsidP="00D801C5">
      <w:pPr>
        <w:ind w:firstLine="567"/>
        <w:jc w:val="both"/>
        <w:rPr>
          <w:sz w:val="28"/>
          <w:szCs w:val="28"/>
        </w:rPr>
      </w:pPr>
      <w:r w:rsidRPr="00C24771">
        <w:rPr>
          <w:sz w:val="28"/>
          <w:szCs w:val="28"/>
        </w:rPr>
        <w:t xml:space="preserve">Число субъектов малого и среднего предпринимательства в расчете на 10 тыс. человек населения в 2015 году составило 459,3 единиц (2014 год – 456,9 един.). </w:t>
      </w:r>
    </w:p>
    <w:p w:rsidR="00D801C5" w:rsidRPr="00C24771" w:rsidRDefault="00D801C5" w:rsidP="00D801C5">
      <w:pPr>
        <w:ind w:firstLine="567"/>
        <w:jc w:val="both"/>
        <w:rPr>
          <w:sz w:val="28"/>
          <w:szCs w:val="28"/>
        </w:rPr>
      </w:pPr>
      <w:r w:rsidRPr="00C24771">
        <w:rPr>
          <w:sz w:val="28"/>
          <w:szCs w:val="28"/>
        </w:rPr>
        <w:t xml:space="preserve"> Положительная динамика показателя обусловлена увеличением количества вновь открывшихся субъектов предпринимательства в 2015 году, количество субъектов предпринимательства составило 1650 единиц (2014 год – 1634 единицы).</w:t>
      </w:r>
    </w:p>
    <w:p w:rsidR="00D801C5" w:rsidRPr="00C24771" w:rsidRDefault="00D801C5" w:rsidP="00D801C5">
      <w:pPr>
        <w:pStyle w:val="ConsPlusNormal"/>
        <w:ind w:right="9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4771">
        <w:rPr>
          <w:rFonts w:ascii="Times New Roman" w:hAnsi="Times New Roman" w:cs="Times New Roman"/>
          <w:sz w:val="28"/>
          <w:szCs w:val="28"/>
        </w:rPr>
        <w:t>Развитию малого и среднего предпринимательства на территории района способствует реализация муниципальной  программы «Развитие  малого и среднего предпринимательства, агропромышленного комплекса и рынков сельскохозяйственной продукции, сырья и продовольствия в Нижневартовском районе на 2015-2020 годы».</w:t>
      </w:r>
      <w:r w:rsidRPr="00C24771">
        <w:rPr>
          <w:sz w:val="28"/>
          <w:szCs w:val="28"/>
        </w:rPr>
        <w:t xml:space="preserve"> </w:t>
      </w:r>
      <w:r w:rsidRPr="00C24771">
        <w:rPr>
          <w:rFonts w:ascii="Times New Roman" w:hAnsi="Times New Roman" w:cs="Times New Roman"/>
          <w:sz w:val="28"/>
          <w:szCs w:val="28"/>
        </w:rPr>
        <w:t xml:space="preserve">В рамках мероприятий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 2015 году </w:t>
      </w:r>
      <w:r w:rsidRPr="00C24771">
        <w:rPr>
          <w:rFonts w:ascii="Times New Roman" w:hAnsi="Times New Roman" w:cs="Times New Roman"/>
          <w:sz w:val="28"/>
          <w:szCs w:val="28"/>
        </w:rPr>
        <w:t>предусмотрено 17 видов поддержки (субсидирования) субъектам предпринимательства, из которых   6 видов поддержки финансируются только из бюджета района.</w:t>
      </w:r>
    </w:p>
    <w:p w:rsidR="00D801C5" w:rsidRPr="00C24771" w:rsidRDefault="00D801C5" w:rsidP="00D801C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i/>
          <w:sz w:val="28"/>
          <w:szCs w:val="28"/>
        </w:rPr>
      </w:pPr>
    </w:p>
    <w:p w:rsidR="00D801C5" w:rsidRPr="00C24771" w:rsidRDefault="00D801C5" w:rsidP="00D801C5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C24771">
        <w:rPr>
          <w:b/>
          <w:i/>
          <w:sz w:val="28"/>
          <w:szCs w:val="28"/>
        </w:rPr>
        <w:t>Показатель «Объем инвестиций в основной капитал (за исключением</w:t>
      </w:r>
    </w:p>
    <w:p w:rsidR="00D801C5" w:rsidRPr="00C24771" w:rsidRDefault="00D801C5" w:rsidP="00D801C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24771">
        <w:rPr>
          <w:b/>
          <w:i/>
          <w:sz w:val="28"/>
          <w:szCs w:val="28"/>
        </w:rPr>
        <w:t>бюджетных средств) в расчете на одного жителя»</w:t>
      </w:r>
    </w:p>
    <w:p w:rsidR="00D801C5" w:rsidRPr="00C24771" w:rsidRDefault="00D801C5" w:rsidP="00D801C5">
      <w:pPr>
        <w:shd w:val="clear" w:color="auto" w:fill="FFFFFF"/>
        <w:ind w:firstLine="709"/>
        <w:jc w:val="both"/>
        <w:rPr>
          <w:sz w:val="28"/>
          <w:szCs w:val="28"/>
        </w:rPr>
      </w:pPr>
      <w:r w:rsidRPr="00C24771">
        <w:rPr>
          <w:sz w:val="28"/>
          <w:szCs w:val="28"/>
        </w:rPr>
        <w:t>Объем инвестиций в основной капитал (за исключением бюджетных средств) в расчете на одного жителя в 2015 году составил  2 719 616,0 руб. (2014 год - 1 786 800,0 руб.).</w:t>
      </w:r>
    </w:p>
    <w:p w:rsidR="00D801C5" w:rsidRPr="00C24771" w:rsidRDefault="00D801C5" w:rsidP="00D801C5">
      <w:pPr>
        <w:ind w:firstLine="709"/>
        <w:jc w:val="both"/>
        <w:rPr>
          <w:sz w:val="28"/>
          <w:szCs w:val="28"/>
        </w:rPr>
      </w:pPr>
      <w:r w:rsidRPr="00C24771">
        <w:rPr>
          <w:sz w:val="28"/>
          <w:szCs w:val="28"/>
        </w:rPr>
        <w:t>В общем объеме инвестиций  - 93,2 % осуществлены за счет собственных средств организаций.</w:t>
      </w:r>
    </w:p>
    <w:p w:rsidR="00D801C5" w:rsidRPr="00C24771" w:rsidRDefault="00D801C5" w:rsidP="00D801C5">
      <w:pPr>
        <w:ind w:firstLine="709"/>
        <w:jc w:val="both"/>
        <w:rPr>
          <w:sz w:val="28"/>
          <w:szCs w:val="28"/>
        </w:rPr>
      </w:pPr>
      <w:r w:rsidRPr="00C24771">
        <w:rPr>
          <w:rStyle w:val="a9"/>
          <w:b w:val="0"/>
          <w:sz w:val="28"/>
          <w:szCs w:val="28"/>
        </w:rPr>
        <w:t xml:space="preserve">Наибольший удельный вес в структуре инвестиций в разрезе видов экономической деятельности занимают инвестиции по виду экономической деятельности </w:t>
      </w:r>
      <w:r w:rsidRPr="00C24771">
        <w:rPr>
          <w:sz w:val="28"/>
          <w:szCs w:val="28"/>
        </w:rPr>
        <w:t xml:space="preserve">«Добыча полезных ископаемых, предоставление услуг в этой области» – 95,5 %. Инвестиционные программы данной отрасли направлены на развитие и модернизацию производственных мощностей. </w:t>
      </w:r>
    </w:p>
    <w:p w:rsidR="00D801C5" w:rsidRPr="00C24771" w:rsidRDefault="00D801C5" w:rsidP="00D801C5">
      <w:pPr>
        <w:ind w:firstLine="709"/>
        <w:jc w:val="both"/>
        <w:rPr>
          <w:sz w:val="28"/>
          <w:szCs w:val="28"/>
        </w:rPr>
      </w:pPr>
      <w:r w:rsidRPr="00C24771">
        <w:rPr>
          <w:sz w:val="28"/>
          <w:szCs w:val="28"/>
        </w:rPr>
        <w:t>На достигнутый уровень инвестиционной привлекательности района и ожидаемую  положительную динамику планового периода оказывает влияние активная инвестиционная политика нефтегазодобывающих предприятий, а также политика, проводимой органами местного самоуправления района по обеспечению благоприятного инвестиционного климата.</w:t>
      </w:r>
    </w:p>
    <w:p w:rsidR="00D801C5" w:rsidRPr="00C24771" w:rsidRDefault="00D801C5" w:rsidP="00D801C5">
      <w:pPr>
        <w:ind w:firstLine="708"/>
        <w:jc w:val="both"/>
        <w:rPr>
          <w:bCs/>
          <w:iCs/>
          <w:sz w:val="28"/>
          <w:szCs w:val="28"/>
        </w:rPr>
      </w:pPr>
    </w:p>
    <w:p w:rsidR="00C0185A" w:rsidRDefault="00C0185A" w:rsidP="00C0185A">
      <w:pPr>
        <w:ind w:firstLine="567"/>
        <w:jc w:val="center"/>
        <w:rPr>
          <w:b/>
          <w:i/>
          <w:color w:val="000000"/>
          <w:sz w:val="28"/>
          <w:szCs w:val="28"/>
        </w:rPr>
      </w:pPr>
      <w:r w:rsidRPr="004F0557">
        <w:rPr>
          <w:b/>
          <w:i/>
          <w:sz w:val="28"/>
          <w:szCs w:val="28"/>
        </w:rPr>
        <w:t>Показатель</w:t>
      </w:r>
      <w:r w:rsidRPr="004F0557">
        <w:rPr>
          <w:b/>
          <w:i/>
          <w:color w:val="000000"/>
          <w:sz w:val="20"/>
          <w:szCs w:val="20"/>
        </w:rPr>
        <w:t xml:space="preserve"> </w:t>
      </w:r>
      <w:r w:rsidRPr="004F0557">
        <w:rPr>
          <w:b/>
          <w:bCs/>
          <w:i/>
          <w:sz w:val="28"/>
          <w:szCs w:val="28"/>
        </w:rPr>
        <w:t>«</w:t>
      </w:r>
      <w:r w:rsidRPr="004F0557">
        <w:rPr>
          <w:b/>
          <w:i/>
          <w:color w:val="000000"/>
          <w:sz w:val="28"/>
          <w:szCs w:val="28"/>
        </w:rPr>
        <w:t xml:space="preserve">Доля детей в возрасте 1 - 6 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</w:t>
      </w:r>
    </w:p>
    <w:p w:rsidR="00C0185A" w:rsidRPr="004F0557" w:rsidRDefault="00C0185A" w:rsidP="00C0185A">
      <w:pPr>
        <w:ind w:firstLine="567"/>
        <w:jc w:val="center"/>
        <w:rPr>
          <w:b/>
          <w:bCs/>
          <w:i/>
          <w:sz w:val="28"/>
          <w:szCs w:val="28"/>
        </w:rPr>
      </w:pPr>
      <w:r w:rsidRPr="004F0557">
        <w:rPr>
          <w:b/>
          <w:i/>
          <w:color w:val="000000"/>
          <w:sz w:val="28"/>
          <w:szCs w:val="28"/>
        </w:rPr>
        <w:t>1 - 6 лет»</w:t>
      </w:r>
    </w:p>
    <w:p w:rsidR="00C0185A" w:rsidRPr="00AC24C5" w:rsidRDefault="00C0185A" w:rsidP="00C0185A">
      <w:pPr>
        <w:ind w:firstLine="540"/>
        <w:jc w:val="both"/>
        <w:rPr>
          <w:sz w:val="28"/>
          <w:szCs w:val="28"/>
        </w:rPr>
      </w:pPr>
      <w:r w:rsidRPr="00AC24C5">
        <w:rPr>
          <w:color w:val="000000"/>
          <w:sz w:val="28"/>
          <w:szCs w:val="28"/>
        </w:rPr>
        <w:t xml:space="preserve">Доля детей в возрасте 1 - 6 лет, получающих дошкольную образовательную услугу и (или) услугу по их содержанию в муниципальных </w:t>
      </w:r>
      <w:r w:rsidRPr="00AC24C5">
        <w:rPr>
          <w:color w:val="000000"/>
          <w:sz w:val="28"/>
          <w:szCs w:val="28"/>
        </w:rPr>
        <w:lastRenderedPageBreak/>
        <w:t xml:space="preserve">образовательных учреждениях в общей численности детей в возрасте 1 - 6 лет составляет </w:t>
      </w:r>
      <w:r w:rsidRPr="00AC24C5">
        <w:rPr>
          <w:sz w:val="28"/>
          <w:szCs w:val="28"/>
        </w:rPr>
        <w:t xml:space="preserve"> 7</w:t>
      </w:r>
      <w:r>
        <w:rPr>
          <w:sz w:val="28"/>
          <w:szCs w:val="28"/>
        </w:rPr>
        <w:t>7,4</w:t>
      </w:r>
      <w:r w:rsidRPr="00AC24C5">
        <w:rPr>
          <w:sz w:val="28"/>
          <w:szCs w:val="28"/>
        </w:rPr>
        <w:t xml:space="preserve">%  (2014 год – 76,2%). </w:t>
      </w:r>
    </w:p>
    <w:p w:rsidR="00C0185A" w:rsidRPr="00C0185A" w:rsidRDefault="00C0185A" w:rsidP="00C0185A">
      <w:pPr>
        <w:jc w:val="both"/>
        <w:rPr>
          <w:b/>
          <w:i/>
          <w:sz w:val="28"/>
          <w:szCs w:val="28"/>
        </w:rPr>
      </w:pPr>
      <w:r w:rsidRPr="00AC24C5">
        <w:rPr>
          <w:color w:val="000000"/>
          <w:sz w:val="28"/>
          <w:szCs w:val="28"/>
        </w:rPr>
        <w:tab/>
      </w:r>
      <w:bookmarkStart w:id="0" w:name="_Toc449538186"/>
      <w:r w:rsidR="007D2FEC">
        <w:rPr>
          <w:color w:val="000000"/>
          <w:sz w:val="28"/>
          <w:szCs w:val="28"/>
        </w:rPr>
        <w:t>Увеличение д</w:t>
      </w:r>
      <w:r w:rsidRPr="00C0185A">
        <w:rPr>
          <w:color w:val="000000"/>
          <w:sz w:val="28"/>
          <w:szCs w:val="28"/>
        </w:rPr>
        <w:t>ол</w:t>
      </w:r>
      <w:r w:rsidR="007D2FEC">
        <w:rPr>
          <w:color w:val="000000"/>
          <w:sz w:val="28"/>
          <w:szCs w:val="28"/>
        </w:rPr>
        <w:t>и</w:t>
      </w:r>
      <w:r w:rsidRPr="00C0185A">
        <w:rPr>
          <w:color w:val="000000"/>
          <w:sz w:val="28"/>
          <w:szCs w:val="28"/>
        </w:rPr>
        <w:t xml:space="preserve">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</w:r>
      <w:r>
        <w:rPr>
          <w:color w:val="000000"/>
          <w:sz w:val="28"/>
          <w:szCs w:val="28"/>
        </w:rPr>
        <w:t>,</w:t>
      </w:r>
      <w:r w:rsidRPr="00C0185A">
        <w:rPr>
          <w:color w:val="000000"/>
          <w:sz w:val="28"/>
          <w:szCs w:val="28"/>
        </w:rPr>
        <w:t xml:space="preserve"> </w:t>
      </w:r>
      <w:r w:rsidR="007D2FEC">
        <w:rPr>
          <w:color w:val="000000"/>
          <w:sz w:val="28"/>
          <w:szCs w:val="28"/>
        </w:rPr>
        <w:t xml:space="preserve">обеспечено </w:t>
      </w:r>
      <w:r w:rsidRPr="00C0185A">
        <w:rPr>
          <w:color w:val="000000"/>
          <w:sz w:val="28"/>
          <w:szCs w:val="28"/>
        </w:rPr>
        <w:t xml:space="preserve"> за счет выдачи временных путевок</w:t>
      </w:r>
      <w:bookmarkEnd w:id="0"/>
      <w:r w:rsidR="007D2FEC">
        <w:rPr>
          <w:color w:val="000000"/>
          <w:sz w:val="28"/>
          <w:szCs w:val="28"/>
        </w:rPr>
        <w:t xml:space="preserve"> детям</w:t>
      </w:r>
      <w:r w:rsidR="009F0551">
        <w:rPr>
          <w:color w:val="000000"/>
          <w:sz w:val="28"/>
          <w:szCs w:val="28"/>
        </w:rPr>
        <w:t xml:space="preserve"> </w:t>
      </w:r>
      <w:r w:rsidR="009F0551" w:rsidRPr="00AC24C5">
        <w:rPr>
          <w:color w:val="000000"/>
          <w:sz w:val="28"/>
          <w:szCs w:val="28"/>
        </w:rPr>
        <w:t>в возрасте 1 - 6 лет</w:t>
      </w:r>
      <w:r>
        <w:rPr>
          <w:color w:val="000000"/>
          <w:sz w:val="28"/>
          <w:szCs w:val="28"/>
        </w:rPr>
        <w:t>.</w:t>
      </w:r>
    </w:p>
    <w:p w:rsidR="00C0185A" w:rsidRDefault="00C0185A" w:rsidP="00D801C5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</w:p>
    <w:p w:rsidR="00D801C5" w:rsidRPr="00C24771" w:rsidRDefault="00D801C5" w:rsidP="00D801C5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C24771">
        <w:rPr>
          <w:b/>
          <w:i/>
          <w:sz w:val="28"/>
          <w:szCs w:val="28"/>
        </w:rPr>
        <w:t>Показатель «Доля детей в возрасте 1 - 6 лет, состоящих на учете</w:t>
      </w:r>
    </w:p>
    <w:p w:rsidR="00D801C5" w:rsidRPr="00C24771" w:rsidRDefault="00D801C5" w:rsidP="00D801C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24771">
        <w:rPr>
          <w:b/>
          <w:i/>
          <w:sz w:val="28"/>
          <w:szCs w:val="28"/>
        </w:rPr>
        <w:t>для определения в муниципальные дошкольные образовательные</w:t>
      </w:r>
    </w:p>
    <w:p w:rsidR="00D801C5" w:rsidRPr="00C24771" w:rsidRDefault="00D801C5" w:rsidP="0026288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C24771">
        <w:rPr>
          <w:b/>
          <w:i/>
          <w:sz w:val="28"/>
          <w:szCs w:val="28"/>
        </w:rPr>
        <w:t>учреждения, в общей численности детей в возрасте 1 - 6 лет»</w:t>
      </w:r>
      <w:r w:rsidR="00262881" w:rsidRPr="00C24771">
        <w:rPr>
          <w:rFonts w:ascii="Calibri" w:hAnsi="Calibri" w:cs="Calibri"/>
        </w:rPr>
        <w:t xml:space="preserve"> </w:t>
      </w:r>
    </w:p>
    <w:p w:rsidR="00D801C5" w:rsidRPr="00C24771" w:rsidRDefault="00D801C5" w:rsidP="00D801C5">
      <w:pPr>
        <w:shd w:val="clear" w:color="auto" w:fill="FFFFFF"/>
        <w:ind w:firstLine="709"/>
        <w:jc w:val="both"/>
        <w:rPr>
          <w:sz w:val="28"/>
          <w:szCs w:val="28"/>
        </w:rPr>
      </w:pPr>
      <w:r w:rsidRPr="00C24771">
        <w:rPr>
          <w:sz w:val="28"/>
          <w:szCs w:val="28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 за 2015 год составила 0 % (2014 год – 1,8%).</w:t>
      </w:r>
    </w:p>
    <w:p w:rsidR="00D801C5" w:rsidRDefault="00D801C5" w:rsidP="00D801C5">
      <w:pPr>
        <w:ind w:firstLine="567"/>
        <w:jc w:val="both"/>
        <w:rPr>
          <w:sz w:val="28"/>
          <w:szCs w:val="28"/>
        </w:rPr>
      </w:pPr>
      <w:r w:rsidRPr="00C24771">
        <w:rPr>
          <w:color w:val="000000"/>
          <w:sz w:val="28"/>
          <w:szCs w:val="28"/>
        </w:rPr>
        <w:t xml:space="preserve">Уменьшение доли детей, стоящих на учете для определения в дошкольные образовательные учреждения, обеспечено за счет выделения </w:t>
      </w:r>
      <w:r>
        <w:rPr>
          <w:color w:val="000000"/>
          <w:sz w:val="28"/>
          <w:szCs w:val="28"/>
        </w:rPr>
        <w:t xml:space="preserve">детям </w:t>
      </w:r>
      <w:r w:rsidRPr="00C24771">
        <w:rPr>
          <w:sz w:val="28"/>
          <w:szCs w:val="28"/>
        </w:rPr>
        <w:t xml:space="preserve">в возрасте </w:t>
      </w:r>
    </w:p>
    <w:p w:rsidR="00D801C5" w:rsidRPr="00C24771" w:rsidRDefault="00D801C5" w:rsidP="00D801C5">
      <w:pPr>
        <w:jc w:val="both"/>
        <w:rPr>
          <w:color w:val="000000"/>
          <w:sz w:val="28"/>
          <w:szCs w:val="28"/>
        </w:rPr>
      </w:pPr>
      <w:r w:rsidRPr="00C24771">
        <w:rPr>
          <w:sz w:val="28"/>
          <w:szCs w:val="28"/>
        </w:rPr>
        <w:t>1 - 6 лет</w:t>
      </w:r>
      <w:r w:rsidRPr="00C24771">
        <w:rPr>
          <w:color w:val="000000"/>
          <w:sz w:val="28"/>
          <w:szCs w:val="28"/>
        </w:rPr>
        <w:t xml:space="preserve"> временных путевок</w:t>
      </w:r>
      <w:r>
        <w:rPr>
          <w:color w:val="000000"/>
          <w:sz w:val="28"/>
          <w:szCs w:val="28"/>
        </w:rPr>
        <w:t xml:space="preserve"> в дошкольные группы</w:t>
      </w:r>
      <w:r w:rsidRPr="00C24771">
        <w:rPr>
          <w:color w:val="000000"/>
          <w:sz w:val="28"/>
          <w:szCs w:val="28"/>
        </w:rPr>
        <w:t>.</w:t>
      </w:r>
      <w:r w:rsidRPr="00C24771">
        <w:rPr>
          <w:color w:val="000000"/>
          <w:sz w:val="28"/>
          <w:szCs w:val="28"/>
        </w:rPr>
        <w:br/>
      </w:r>
    </w:p>
    <w:p w:rsidR="00262881" w:rsidRPr="00C24771" w:rsidRDefault="00D801C5" w:rsidP="00262881">
      <w:pPr>
        <w:ind w:firstLine="567"/>
        <w:jc w:val="center"/>
        <w:rPr>
          <w:b/>
          <w:i/>
          <w:color w:val="000000"/>
          <w:sz w:val="28"/>
          <w:szCs w:val="28"/>
        </w:rPr>
      </w:pPr>
      <w:r w:rsidRPr="00C24771">
        <w:rPr>
          <w:b/>
          <w:i/>
          <w:sz w:val="28"/>
          <w:szCs w:val="28"/>
        </w:rPr>
        <w:t>Показатель</w:t>
      </w:r>
      <w:r w:rsidRPr="00C24771">
        <w:rPr>
          <w:b/>
          <w:i/>
          <w:color w:val="000000"/>
          <w:sz w:val="20"/>
          <w:szCs w:val="20"/>
        </w:rPr>
        <w:t xml:space="preserve"> </w:t>
      </w:r>
      <w:r w:rsidRPr="00C24771">
        <w:rPr>
          <w:b/>
          <w:i/>
          <w:color w:val="000000"/>
          <w:sz w:val="28"/>
          <w:szCs w:val="28"/>
        </w:rPr>
        <w:t>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</w:t>
      </w:r>
    </w:p>
    <w:p w:rsidR="00D801C5" w:rsidRPr="00C24771" w:rsidRDefault="00D801C5" w:rsidP="00D801C5">
      <w:pPr>
        <w:ind w:firstLine="720"/>
        <w:jc w:val="both"/>
        <w:rPr>
          <w:color w:val="000000"/>
          <w:sz w:val="28"/>
          <w:szCs w:val="28"/>
        </w:rPr>
      </w:pPr>
      <w:r w:rsidRPr="00C24771">
        <w:rPr>
          <w:color w:val="000000"/>
          <w:sz w:val="28"/>
          <w:szCs w:val="28"/>
        </w:rPr>
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 составляет 0% (2014 год – 0%). </w:t>
      </w:r>
    </w:p>
    <w:p w:rsidR="00D801C5" w:rsidRPr="00C24771" w:rsidRDefault="00D801C5" w:rsidP="00D801C5">
      <w:pPr>
        <w:ind w:firstLine="720"/>
        <w:jc w:val="both"/>
        <w:rPr>
          <w:color w:val="000000"/>
          <w:sz w:val="28"/>
          <w:szCs w:val="28"/>
        </w:rPr>
      </w:pPr>
      <w:r w:rsidRPr="00C24771">
        <w:rPr>
          <w:color w:val="000000"/>
          <w:sz w:val="28"/>
          <w:szCs w:val="28"/>
        </w:rPr>
        <w:t xml:space="preserve">В связи с вводом в эксплуатацию нового здания МБОУ "Новоаганская ОСШ №2" с 2014 года  100% обучающихся в муниципальных общеобразовательных учреждениях района занимаются в первую смену. </w:t>
      </w:r>
    </w:p>
    <w:p w:rsidR="00D801C5" w:rsidRPr="00C24771" w:rsidRDefault="00D801C5" w:rsidP="00D801C5">
      <w:pPr>
        <w:ind w:firstLine="567"/>
        <w:jc w:val="both"/>
        <w:rPr>
          <w:b/>
          <w:i/>
          <w:color w:val="000000"/>
          <w:sz w:val="28"/>
          <w:szCs w:val="28"/>
        </w:rPr>
      </w:pPr>
    </w:p>
    <w:p w:rsidR="00262881" w:rsidRDefault="00C0185A" w:rsidP="00C0185A">
      <w:pPr>
        <w:jc w:val="center"/>
        <w:rPr>
          <w:b/>
          <w:i/>
          <w:color w:val="000000"/>
          <w:sz w:val="28"/>
          <w:szCs w:val="28"/>
        </w:rPr>
      </w:pPr>
      <w:bookmarkStart w:id="1" w:name="_Toc449538224"/>
      <w:r w:rsidRPr="004F0557">
        <w:rPr>
          <w:b/>
          <w:i/>
          <w:sz w:val="28"/>
          <w:szCs w:val="28"/>
        </w:rPr>
        <w:t>Показатель</w:t>
      </w:r>
      <w:r w:rsidRPr="004F0557">
        <w:rPr>
          <w:b/>
          <w:i/>
          <w:color w:val="000000"/>
          <w:sz w:val="20"/>
          <w:szCs w:val="20"/>
        </w:rPr>
        <w:t xml:space="preserve"> </w:t>
      </w:r>
      <w:r w:rsidRPr="004F0557">
        <w:rPr>
          <w:b/>
          <w:i/>
          <w:color w:val="000000"/>
          <w:sz w:val="28"/>
          <w:szCs w:val="28"/>
        </w:rPr>
        <w:t>«Доля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bookmarkEnd w:id="1"/>
      <w:r w:rsidRPr="004F0557">
        <w:rPr>
          <w:b/>
          <w:i/>
          <w:color w:val="000000"/>
          <w:sz w:val="28"/>
          <w:szCs w:val="28"/>
        </w:rPr>
        <w:t>»</w:t>
      </w:r>
    </w:p>
    <w:p w:rsidR="00C0185A" w:rsidRPr="00AC24C5" w:rsidRDefault="00C0185A" w:rsidP="00C0185A">
      <w:pPr>
        <w:jc w:val="both"/>
        <w:rPr>
          <w:color w:val="000000"/>
          <w:sz w:val="28"/>
          <w:szCs w:val="28"/>
        </w:rPr>
      </w:pPr>
      <w:r w:rsidRPr="00AC24C5">
        <w:rPr>
          <w:color w:val="000000"/>
          <w:sz w:val="28"/>
          <w:szCs w:val="28"/>
        </w:rPr>
        <w:t xml:space="preserve">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r w:rsidR="0052140A">
        <w:rPr>
          <w:color w:val="000000"/>
          <w:sz w:val="28"/>
          <w:szCs w:val="28"/>
        </w:rPr>
        <w:t>,</w:t>
      </w:r>
      <w:r w:rsidRPr="00AC24C5">
        <w:rPr>
          <w:color w:val="000000"/>
          <w:sz w:val="28"/>
          <w:szCs w:val="28"/>
        </w:rPr>
        <w:t xml:space="preserve"> составляет 0% (2014 год – 0%). </w:t>
      </w:r>
    </w:p>
    <w:p w:rsidR="00C0185A" w:rsidRDefault="00C0185A" w:rsidP="00C0185A">
      <w:pPr>
        <w:jc w:val="both"/>
        <w:rPr>
          <w:color w:val="000000"/>
          <w:sz w:val="28"/>
          <w:szCs w:val="28"/>
        </w:rPr>
      </w:pPr>
      <w:r w:rsidRPr="00AC24C5">
        <w:rPr>
          <w:color w:val="000000"/>
          <w:sz w:val="28"/>
          <w:szCs w:val="28"/>
        </w:rPr>
        <w:tab/>
        <w:t>Муниципальные дошкольные образовательные учреждения, здания которых находятся в аварийном состоянии или требуют капитального ремонта, отсутствуют.</w:t>
      </w:r>
    </w:p>
    <w:p w:rsidR="0052140A" w:rsidRDefault="0052140A" w:rsidP="00C0185A">
      <w:pPr>
        <w:jc w:val="both"/>
        <w:rPr>
          <w:color w:val="000000"/>
          <w:sz w:val="28"/>
          <w:szCs w:val="28"/>
        </w:rPr>
      </w:pPr>
    </w:p>
    <w:p w:rsidR="0052140A" w:rsidRDefault="0052140A" w:rsidP="0052140A">
      <w:pPr>
        <w:ind w:firstLine="567"/>
        <w:jc w:val="center"/>
        <w:rPr>
          <w:b/>
          <w:i/>
          <w:color w:val="000000"/>
          <w:sz w:val="28"/>
          <w:szCs w:val="28"/>
        </w:rPr>
      </w:pPr>
      <w:bookmarkStart w:id="2" w:name="_Toc449538281"/>
      <w:r w:rsidRPr="004F0557">
        <w:rPr>
          <w:b/>
          <w:i/>
          <w:sz w:val="28"/>
          <w:szCs w:val="28"/>
        </w:rPr>
        <w:t>Показатель</w:t>
      </w:r>
      <w:r w:rsidRPr="004F0557">
        <w:rPr>
          <w:b/>
          <w:i/>
          <w:color w:val="000000"/>
          <w:sz w:val="20"/>
          <w:szCs w:val="20"/>
        </w:rPr>
        <w:t xml:space="preserve"> </w:t>
      </w:r>
      <w:r w:rsidRPr="004F0557">
        <w:rPr>
          <w:b/>
          <w:i/>
          <w:color w:val="000000"/>
          <w:sz w:val="28"/>
          <w:szCs w:val="28"/>
        </w:rPr>
        <w:t>«Доля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  <w:bookmarkEnd w:id="2"/>
      <w:r w:rsidRPr="004F0557">
        <w:rPr>
          <w:b/>
          <w:i/>
          <w:color w:val="000000"/>
          <w:sz w:val="28"/>
          <w:szCs w:val="28"/>
        </w:rPr>
        <w:t>»</w:t>
      </w:r>
    </w:p>
    <w:p w:rsidR="0052140A" w:rsidRPr="00AC24C5" w:rsidRDefault="0052140A" w:rsidP="0052140A">
      <w:pPr>
        <w:ind w:firstLine="540"/>
        <w:jc w:val="both"/>
        <w:rPr>
          <w:color w:val="000000"/>
          <w:sz w:val="28"/>
          <w:szCs w:val="28"/>
        </w:rPr>
      </w:pPr>
      <w:r w:rsidRPr="00AC24C5">
        <w:rPr>
          <w:color w:val="000000"/>
          <w:sz w:val="28"/>
          <w:szCs w:val="28"/>
        </w:rPr>
        <w:lastRenderedPageBreak/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  <w:r>
        <w:rPr>
          <w:color w:val="000000"/>
          <w:sz w:val="28"/>
          <w:szCs w:val="28"/>
        </w:rPr>
        <w:t>,</w:t>
      </w:r>
      <w:r w:rsidRPr="00AC24C5">
        <w:rPr>
          <w:color w:val="000000"/>
          <w:sz w:val="28"/>
          <w:szCs w:val="28"/>
        </w:rPr>
        <w:t xml:space="preserve"> составляет 0% (2015 – 0 %). </w:t>
      </w:r>
      <w:r w:rsidR="00E9625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табильн</w:t>
      </w:r>
      <w:r w:rsidR="00E9625D">
        <w:rPr>
          <w:color w:val="000000"/>
          <w:sz w:val="28"/>
          <w:szCs w:val="28"/>
        </w:rPr>
        <w:t>ость</w:t>
      </w:r>
      <w:r>
        <w:rPr>
          <w:color w:val="000000"/>
          <w:sz w:val="28"/>
          <w:szCs w:val="28"/>
        </w:rPr>
        <w:t xml:space="preserve"> п</w:t>
      </w:r>
      <w:r w:rsidRPr="00AC24C5">
        <w:rPr>
          <w:color w:val="000000"/>
          <w:sz w:val="28"/>
          <w:szCs w:val="28"/>
        </w:rPr>
        <w:t>оказател</w:t>
      </w:r>
      <w:r>
        <w:rPr>
          <w:color w:val="000000"/>
          <w:sz w:val="28"/>
          <w:szCs w:val="28"/>
        </w:rPr>
        <w:t>я</w:t>
      </w:r>
      <w:r w:rsidRPr="00AC24C5">
        <w:rPr>
          <w:color w:val="000000"/>
          <w:sz w:val="28"/>
          <w:szCs w:val="28"/>
        </w:rPr>
        <w:t xml:space="preserve"> </w:t>
      </w:r>
      <w:r w:rsidR="00E9625D">
        <w:rPr>
          <w:color w:val="000000"/>
          <w:sz w:val="28"/>
          <w:szCs w:val="28"/>
        </w:rPr>
        <w:t>сохраняется</w:t>
      </w:r>
      <w:r>
        <w:rPr>
          <w:color w:val="000000"/>
          <w:sz w:val="28"/>
          <w:szCs w:val="28"/>
        </w:rPr>
        <w:t xml:space="preserve"> </w:t>
      </w:r>
      <w:r w:rsidRPr="00AC24C5">
        <w:rPr>
          <w:color w:val="000000"/>
          <w:sz w:val="28"/>
          <w:szCs w:val="28"/>
        </w:rPr>
        <w:t>за счет повышения качества образования, работы с обучающимися по индивидуальным образовательным маршрутам.</w:t>
      </w:r>
    </w:p>
    <w:p w:rsidR="0052140A" w:rsidRPr="004F0557" w:rsidRDefault="0052140A" w:rsidP="0052140A">
      <w:pPr>
        <w:ind w:firstLine="567"/>
        <w:jc w:val="center"/>
        <w:rPr>
          <w:b/>
          <w:i/>
          <w:color w:val="000000"/>
          <w:sz w:val="28"/>
          <w:szCs w:val="28"/>
        </w:rPr>
      </w:pPr>
    </w:p>
    <w:p w:rsidR="0052140A" w:rsidRDefault="0052140A" w:rsidP="0052140A">
      <w:pPr>
        <w:ind w:firstLine="567"/>
        <w:jc w:val="center"/>
        <w:rPr>
          <w:b/>
          <w:i/>
          <w:color w:val="000000"/>
          <w:sz w:val="28"/>
          <w:szCs w:val="28"/>
        </w:rPr>
      </w:pPr>
      <w:bookmarkStart w:id="3" w:name="_Toc449538391"/>
      <w:r w:rsidRPr="004F0557">
        <w:rPr>
          <w:b/>
          <w:i/>
          <w:sz w:val="28"/>
          <w:szCs w:val="28"/>
        </w:rPr>
        <w:t>Показатель</w:t>
      </w:r>
      <w:r>
        <w:rPr>
          <w:color w:val="000000"/>
          <w:sz w:val="28"/>
          <w:szCs w:val="28"/>
        </w:rPr>
        <w:t xml:space="preserve"> «</w:t>
      </w:r>
      <w:r w:rsidRPr="004F0557">
        <w:rPr>
          <w:b/>
          <w:i/>
          <w:color w:val="000000"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bookmarkEnd w:id="3"/>
      <w:r w:rsidRPr="004F0557">
        <w:rPr>
          <w:b/>
          <w:i/>
          <w:color w:val="000000"/>
          <w:sz w:val="28"/>
          <w:szCs w:val="28"/>
        </w:rPr>
        <w:t>»</w:t>
      </w:r>
    </w:p>
    <w:p w:rsidR="00FB62A1" w:rsidRPr="00AC24C5" w:rsidRDefault="00FB62A1" w:rsidP="00262881">
      <w:pPr>
        <w:ind w:firstLine="540"/>
        <w:jc w:val="both"/>
        <w:rPr>
          <w:color w:val="000000"/>
          <w:sz w:val="28"/>
          <w:szCs w:val="28"/>
        </w:rPr>
      </w:pPr>
      <w:r w:rsidRPr="00FB62A1">
        <w:rPr>
          <w:color w:val="000000"/>
          <w:sz w:val="28"/>
          <w:szCs w:val="28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r>
        <w:rPr>
          <w:color w:val="000000"/>
          <w:sz w:val="28"/>
          <w:szCs w:val="28"/>
        </w:rPr>
        <w:t xml:space="preserve"> </w:t>
      </w:r>
      <w:r w:rsidRPr="00AC24C5">
        <w:rPr>
          <w:color w:val="000000"/>
          <w:sz w:val="28"/>
          <w:szCs w:val="28"/>
        </w:rPr>
        <w:t xml:space="preserve">0% (2014 год – 0%). </w:t>
      </w:r>
    </w:p>
    <w:p w:rsidR="00E9625D" w:rsidRDefault="00FB62A1" w:rsidP="00FB62A1">
      <w:pPr>
        <w:ind w:firstLine="540"/>
        <w:jc w:val="both"/>
        <w:rPr>
          <w:color w:val="000000"/>
          <w:sz w:val="28"/>
          <w:szCs w:val="28"/>
        </w:rPr>
      </w:pPr>
      <w:r w:rsidRPr="00AC24C5">
        <w:rPr>
          <w:color w:val="000000"/>
          <w:sz w:val="28"/>
          <w:szCs w:val="28"/>
        </w:rPr>
        <w:t xml:space="preserve"> </w:t>
      </w:r>
      <w:r w:rsidR="00E9625D" w:rsidRPr="00AC24C5">
        <w:rPr>
          <w:color w:val="000000"/>
          <w:sz w:val="28"/>
          <w:szCs w:val="28"/>
        </w:rPr>
        <w:t xml:space="preserve">Муниципальные </w:t>
      </w:r>
      <w:r w:rsidR="00E9625D">
        <w:rPr>
          <w:color w:val="000000"/>
          <w:sz w:val="28"/>
          <w:szCs w:val="28"/>
        </w:rPr>
        <w:t>обще</w:t>
      </w:r>
      <w:r w:rsidR="00E9625D" w:rsidRPr="00AC24C5">
        <w:rPr>
          <w:color w:val="000000"/>
          <w:sz w:val="28"/>
          <w:szCs w:val="28"/>
        </w:rPr>
        <w:t>образовательные учреждения, здания которых находятся в аварийном состоянии или требуют капитального ремонта, отсутствуют.</w:t>
      </w:r>
    </w:p>
    <w:p w:rsidR="0052140A" w:rsidRPr="004F0557" w:rsidRDefault="0052140A" w:rsidP="0052140A">
      <w:pPr>
        <w:ind w:firstLine="567"/>
        <w:jc w:val="center"/>
        <w:rPr>
          <w:b/>
          <w:i/>
          <w:color w:val="000000"/>
          <w:sz w:val="28"/>
          <w:szCs w:val="28"/>
        </w:rPr>
      </w:pPr>
    </w:p>
    <w:p w:rsidR="0052140A" w:rsidRPr="004F0557" w:rsidRDefault="0052140A" w:rsidP="0052140A">
      <w:pPr>
        <w:ind w:firstLine="567"/>
        <w:jc w:val="center"/>
        <w:rPr>
          <w:b/>
          <w:i/>
          <w:sz w:val="28"/>
          <w:szCs w:val="28"/>
        </w:rPr>
      </w:pPr>
      <w:bookmarkStart w:id="4" w:name="_Toc449538528"/>
      <w:r w:rsidRPr="004F0557">
        <w:rPr>
          <w:b/>
          <w:i/>
          <w:sz w:val="28"/>
          <w:szCs w:val="28"/>
        </w:rPr>
        <w:t>Показатель</w:t>
      </w:r>
      <w:r w:rsidRPr="004F0557">
        <w:rPr>
          <w:b/>
          <w:i/>
          <w:color w:val="000000"/>
          <w:sz w:val="20"/>
          <w:szCs w:val="20"/>
        </w:rPr>
        <w:t xml:space="preserve"> </w:t>
      </w:r>
      <w:r w:rsidRPr="004F0557">
        <w:rPr>
          <w:b/>
          <w:i/>
          <w:color w:val="000000"/>
          <w:sz w:val="28"/>
          <w:szCs w:val="28"/>
        </w:rPr>
        <w:t>«Доля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bookmarkEnd w:id="4"/>
      <w:r w:rsidRPr="004F0557">
        <w:rPr>
          <w:b/>
          <w:i/>
          <w:color w:val="000000"/>
          <w:sz w:val="28"/>
          <w:szCs w:val="28"/>
        </w:rPr>
        <w:t>».</w:t>
      </w:r>
    </w:p>
    <w:p w:rsidR="00E9625D" w:rsidRDefault="00C0185A" w:rsidP="00C0185A">
      <w:pPr>
        <w:jc w:val="both"/>
        <w:rPr>
          <w:color w:val="000000"/>
          <w:sz w:val="28"/>
          <w:szCs w:val="28"/>
        </w:rPr>
      </w:pPr>
      <w:r w:rsidRPr="00AC24C5">
        <w:rPr>
          <w:sz w:val="28"/>
          <w:szCs w:val="28"/>
        </w:rPr>
        <w:tab/>
      </w:r>
      <w:r w:rsidRPr="00AC24C5">
        <w:rPr>
          <w:color w:val="000000"/>
          <w:sz w:val="28"/>
          <w:szCs w:val="28"/>
        </w:rPr>
        <w:t>Доля детей в возрасте 5 - 18 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составляет 1</w:t>
      </w:r>
      <w:r w:rsidR="00E9625D">
        <w:rPr>
          <w:color w:val="000000"/>
          <w:sz w:val="28"/>
          <w:szCs w:val="28"/>
        </w:rPr>
        <w:t>05</w:t>
      </w:r>
      <w:r w:rsidRPr="00AC24C5">
        <w:rPr>
          <w:color w:val="000000"/>
          <w:sz w:val="28"/>
          <w:szCs w:val="28"/>
        </w:rPr>
        <w:t xml:space="preserve"> %. </w:t>
      </w:r>
      <w:r w:rsidR="00E9625D">
        <w:rPr>
          <w:color w:val="000000"/>
          <w:sz w:val="28"/>
          <w:szCs w:val="28"/>
        </w:rPr>
        <w:t xml:space="preserve">  </w:t>
      </w:r>
    </w:p>
    <w:p w:rsidR="00C0185A" w:rsidRPr="00AC24C5" w:rsidRDefault="00E9625D" w:rsidP="00E9625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данного показателя </w:t>
      </w:r>
      <w:r w:rsidR="00ED2077">
        <w:rPr>
          <w:color w:val="000000"/>
          <w:sz w:val="28"/>
          <w:szCs w:val="28"/>
        </w:rPr>
        <w:t>обеспечивается за счет</w:t>
      </w:r>
      <w:r w:rsidR="00C0185A" w:rsidRPr="00AC24C5">
        <w:rPr>
          <w:color w:val="000000"/>
          <w:sz w:val="28"/>
          <w:szCs w:val="28"/>
        </w:rPr>
        <w:t xml:space="preserve"> внедрени</w:t>
      </w:r>
      <w:r w:rsidR="00ED2077">
        <w:rPr>
          <w:color w:val="000000"/>
          <w:sz w:val="28"/>
          <w:szCs w:val="28"/>
        </w:rPr>
        <w:t>я</w:t>
      </w:r>
      <w:r w:rsidR="00C0185A" w:rsidRPr="00AC24C5">
        <w:rPr>
          <w:color w:val="000000"/>
          <w:sz w:val="28"/>
          <w:szCs w:val="28"/>
        </w:rPr>
        <w:t xml:space="preserve"> государственного образовательного стандарта и расширени</w:t>
      </w:r>
      <w:r w:rsidR="00ED2077">
        <w:rPr>
          <w:color w:val="000000"/>
          <w:sz w:val="28"/>
          <w:szCs w:val="28"/>
        </w:rPr>
        <w:t>я</w:t>
      </w:r>
      <w:r w:rsidR="00C0185A" w:rsidRPr="00AC24C5">
        <w:rPr>
          <w:color w:val="000000"/>
          <w:sz w:val="28"/>
          <w:szCs w:val="28"/>
        </w:rPr>
        <w:t xml:space="preserve"> спектра дополнительных услуг, предоставляемых учреждениями культуры, образования, физической культуры и спорта.</w:t>
      </w:r>
    </w:p>
    <w:p w:rsidR="00C0185A" w:rsidRDefault="00C0185A" w:rsidP="00D801C5">
      <w:pPr>
        <w:ind w:firstLine="709"/>
        <w:jc w:val="center"/>
        <w:rPr>
          <w:b/>
          <w:i/>
          <w:sz w:val="28"/>
          <w:szCs w:val="28"/>
        </w:rPr>
      </w:pPr>
    </w:p>
    <w:p w:rsidR="00D801C5" w:rsidRPr="00C24771" w:rsidRDefault="00D801C5" w:rsidP="00D801C5">
      <w:pPr>
        <w:ind w:firstLine="709"/>
        <w:jc w:val="center"/>
        <w:rPr>
          <w:b/>
          <w:i/>
          <w:sz w:val="28"/>
          <w:szCs w:val="28"/>
        </w:rPr>
      </w:pPr>
      <w:r w:rsidRPr="00C24771">
        <w:rPr>
          <w:b/>
          <w:i/>
          <w:sz w:val="28"/>
          <w:szCs w:val="28"/>
        </w:rPr>
        <w:t>Показатель «Доля населения, получившего жилые помещения и улучшившего жилищные условия в отчетном году, в общей численности</w:t>
      </w:r>
    </w:p>
    <w:p w:rsidR="00D801C5" w:rsidRPr="00C24771" w:rsidRDefault="00D801C5" w:rsidP="0026288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24771">
        <w:rPr>
          <w:b/>
          <w:i/>
          <w:sz w:val="28"/>
          <w:szCs w:val="28"/>
        </w:rPr>
        <w:t>населения, состоящего на учете в качестве нуждающегося в жилых помещениях»</w:t>
      </w:r>
    </w:p>
    <w:p w:rsidR="00D801C5" w:rsidRPr="00C24771" w:rsidRDefault="00D801C5" w:rsidP="00D801C5">
      <w:pPr>
        <w:ind w:firstLine="708"/>
        <w:jc w:val="both"/>
        <w:rPr>
          <w:sz w:val="28"/>
          <w:szCs w:val="28"/>
        </w:rPr>
      </w:pPr>
      <w:r w:rsidRPr="00C24771">
        <w:rPr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составила 58,0 (2014 год – 57,0 %).</w:t>
      </w:r>
    </w:p>
    <w:p w:rsidR="00D801C5" w:rsidRPr="00C24771" w:rsidRDefault="00D801C5" w:rsidP="00D801C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24771">
        <w:rPr>
          <w:color w:val="000000"/>
          <w:sz w:val="28"/>
          <w:szCs w:val="28"/>
        </w:rPr>
        <w:t xml:space="preserve">В 2015 году из 2 339 граждан, состоящих на учете, улучшили свои жилищные условия 1 357 человек, в том числе путем получения жилых помещений в порядке очередности по договорам социального найма, переселения из непригодного жилищного фонда, получения жилых помещений специализированного жилищного фонда, фонда коммерческого использования - 1280 человек. Реализация мероприятий различных целевых программ (по </w:t>
      </w:r>
      <w:r w:rsidRPr="00C24771">
        <w:rPr>
          <w:color w:val="000000"/>
          <w:sz w:val="28"/>
          <w:szCs w:val="28"/>
        </w:rPr>
        <w:lastRenderedPageBreak/>
        <w:t xml:space="preserve">предоставлению субсидий ветеранам боевых действий, инвалидам, молодым семьям, переселенцам за пределы автономного округа, ипотечное жилищное кредитование, обеспечение детей сирот) позволили улучшить жилищные условия 77 гражданам. </w:t>
      </w:r>
      <w:r w:rsidRPr="00C24771">
        <w:rPr>
          <w:color w:val="000000"/>
          <w:sz w:val="28"/>
          <w:szCs w:val="28"/>
        </w:rPr>
        <w:br/>
      </w:r>
    </w:p>
    <w:p w:rsidR="00D801C5" w:rsidRPr="00C24771" w:rsidRDefault="00D801C5" w:rsidP="00D8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01C5" w:rsidRPr="00C24771" w:rsidRDefault="00D801C5" w:rsidP="00D801C5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C24771">
        <w:rPr>
          <w:b/>
          <w:i/>
          <w:sz w:val="28"/>
          <w:szCs w:val="28"/>
        </w:rPr>
        <w:t>Показатель «Доля многоквартирных домов, расположенных на земельных участках, в отношении которых осуществлен государственный кадастровый учет»</w:t>
      </w:r>
    </w:p>
    <w:p w:rsidR="00D801C5" w:rsidRPr="00C24771" w:rsidRDefault="00D801C5" w:rsidP="00D801C5">
      <w:pPr>
        <w:widowControl w:val="0"/>
        <w:autoSpaceDE w:val="0"/>
        <w:autoSpaceDN w:val="0"/>
        <w:adjustRightInd w:val="0"/>
        <w:ind w:left="-360" w:firstLine="720"/>
        <w:jc w:val="both"/>
        <w:outlineLvl w:val="1"/>
        <w:rPr>
          <w:rFonts w:eastAsiaTheme="minorEastAsia"/>
          <w:sz w:val="28"/>
          <w:szCs w:val="28"/>
        </w:rPr>
      </w:pPr>
      <w:r w:rsidRPr="00C24771">
        <w:rPr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учет, составила 100% (</w:t>
      </w:r>
      <w:r w:rsidRPr="00C24771">
        <w:rPr>
          <w:rFonts w:eastAsiaTheme="minorEastAsia"/>
          <w:sz w:val="28"/>
          <w:szCs w:val="28"/>
        </w:rPr>
        <w:t xml:space="preserve">2014 год - 100,0 %). </w:t>
      </w:r>
    </w:p>
    <w:p w:rsidR="00D801C5" w:rsidRPr="00C24771" w:rsidRDefault="00D801C5" w:rsidP="00D801C5">
      <w:pPr>
        <w:widowControl w:val="0"/>
        <w:autoSpaceDE w:val="0"/>
        <w:autoSpaceDN w:val="0"/>
        <w:adjustRightInd w:val="0"/>
        <w:ind w:firstLine="360"/>
        <w:jc w:val="both"/>
        <w:outlineLvl w:val="1"/>
        <w:rPr>
          <w:b/>
          <w:i/>
          <w:sz w:val="28"/>
          <w:szCs w:val="28"/>
        </w:rPr>
      </w:pPr>
      <w:r>
        <w:rPr>
          <w:sz w:val="28"/>
          <w:szCs w:val="28"/>
        </w:rPr>
        <w:t>Достижение</w:t>
      </w:r>
      <w:r w:rsidRPr="00C24771">
        <w:rPr>
          <w:sz w:val="28"/>
          <w:szCs w:val="28"/>
        </w:rPr>
        <w:t xml:space="preserve"> показателя обусловлен</w:t>
      </w:r>
      <w:r>
        <w:rPr>
          <w:sz w:val="28"/>
          <w:szCs w:val="28"/>
        </w:rPr>
        <w:t>о</w:t>
      </w:r>
      <w:r w:rsidRPr="00C24771">
        <w:rPr>
          <w:sz w:val="28"/>
          <w:szCs w:val="28"/>
        </w:rPr>
        <w:t xml:space="preserve"> выделением средств из бюджета района на проведение кадастровых работ, что повлияло на увеличение числа многоквартирных домов, в отношении которых осуществлен кадастровый учет.</w:t>
      </w:r>
    </w:p>
    <w:p w:rsidR="00D801C5" w:rsidRPr="00C24771" w:rsidRDefault="00D801C5" w:rsidP="00D801C5">
      <w:pPr>
        <w:widowControl w:val="0"/>
        <w:autoSpaceDE w:val="0"/>
        <w:autoSpaceDN w:val="0"/>
        <w:adjustRightInd w:val="0"/>
        <w:jc w:val="both"/>
        <w:outlineLvl w:val="1"/>
        <w:rPr>
          <w:b/>
          <w:i/>
          <w:sz w:val="28"/>
          <w:szCs w:val="28"/>
        </w:rPr>
      </w:pPr>
    </w:p>
    <w:p w:rsidR="00D801C5" w:rsidRPr="00C24771" w:rsidRDefault="00D801C5" w:rsidP="00D801C5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C24771">
        <w:rPr>
          <w:b/>
          <w:i/>
          <w:sz w:val="28"/>
          <w:szCs w:val="28"/>
        </w:rPr>
        <w:t>Показатель «Площадь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</w:t>
      </w:r>
    </w:p>
    <w:p w:rsidR="00D801C5" w:rsidRPr="00C24771" w:rsidRDefault="00D801C5" w:rsidP="00D801C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24771">
        <w:rPr>
          <w:sz w:val="28"/>
          <w:szCs w:val="28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эксплуатацию, отсутствует.</w:t>
      </w:r>
    </w:p>
    <w:p w:rsidR="00D801C5" w:rsidRPr="00C24771" w:rsidRDefault="00D801C5" w:rsidP="00D801C5">
      <w:pPr>
        <w:ind w:firstLine="720"/>
        <w:jc w:val="both"/>
      </w:pPr>
      <w:r w:rsidRPr="00C24771">
        <w:rPr>
          <w:sz w:val="28"/>
          <w:szCs w:val="28"/>
        </w:rPr>
        <w:t xml:space="preserve">В 2015 </w:t>
      </w:r>
      <w:r w:rsidRPr="00C24771">
        <w:rPr>
          <w:rFonts w:cs="Calibri"/>
          <w:sz w:val="28"/>
          <w:szCs w:val="28"/>
        </w:rPr>
        <w:t xml:space="preserve"> году сокращены </w:t>
      </w:r>
      <w:r w:rsidRPr="00C24771">
        <w:rPr>
          <w:sz w:val="28"/>
          <w:szCs w:val="28"/>
        </w:rPr>
        <w:t xml:space="preserve">показатели по срокам и количеству согласований в сфере строительства. Так,  </w:t>
      </w:r>
      <w:r w:rsidRPr="00C24771">
        <w:rPr>
          <w:rFonts w:cs="Calibri"/>
          <w:sz w:val="28"/>
          <w:szCs w:val="28"/>
        </w:rPr>
        <w:t>для получения разрешения на строительство,</w:t>
      </w:r>
      <w:r w:rsidRPr="00C24771">
        <w:rPr>
          <w:sz w:val="28"/>
          <w:szCs w:val="28"/>
        </w:rPr>
        <w:t xml:space="preserve"> к</w:t>
      </w:r>
      <w:r w:rsidRPr="00C24771">
        <w:rPr>
          <w:rFonts w:cs="Calibri"/>
          <w:sz w:val="28"/>
          <w:szCs w:val="28"/>
        </w:rPr>
        <w:t>оличество процедур уменьшилось на 3 единицы и достигло – 8, это значение меньше на 7 процедур, чем по округу,  время прохождения всех процедур сократилось на 18 дней и составило 90, что меньше среднеокружного значения на 40 дней</w:t>
      </w:r>
      <w:r w:rsidRPr="00C24771">
        <w:rPr>
          <w:rFonts w:cs="Calibri"/>
          <w:i/>
          <w:sz w:val="28"/>
          <w:szCs w:val="28"/>
        </w:rPr>
        <w:t>.</w:t>
      </w:r>
    </w:p>
    <w:p w:rsidR="00D801C5" w:rsidRPr="00C24771" w:rsidRDefault="00D801C5" w:rsidP="00D801C5">
      <w:pPr>
        <w:ind w:firstLine="720"/>
        <w:jc w:val="both"/>
        <w:rPr>
          <w:sz w:val="28"/>
          <w:szCs w:val="28"/>
        </w:rPr>
      </w:pPr>
      <w:r w:rsidRPr="00C24771">
        <w:rPr>
          <w:sz w:val="28"/>
          <w:szCs w:val="28"/>
        </w:rPr>
        <w:t xml:space="preserve">Принятые меры позволяют своевременно формировать и  последовательно осваивать земельные участки для жилищного строительства и иных объектов капитального строительства. </w:t>
      </w:r>
    </w:p>
    <w:p w:rsidR="00D801C5" w:rsidRPr="00C24771" w:rsidRDefault="00D801C5" w:rsidP="00D801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01C5" w:rsidRPr="00C24771" w:rsidRDefault="00D801C5" w:rsidP="00D801C5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C24771">
        <w:rPr>
          <w:b/>
          <w:i/>
          <w:sz w:val="28"/>
          <w:szCs w:val="28"/>
        </w:rPr>
        <w:t>Показатель 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субвенций)»</w:t>
      </w:r>
    </w:p>
    <w:p w:rsidR="00D801C5" w:rsidRPr="00C24771" w:rsidRDefault="00D801C5" w:rsidP="00D801C5">
      <w:pPr>
        <w:ind w:firstLine="708"/>
        <w:jc w:val="both"/>
        <w:rPr>
          <w:sz w:val="28"/>
          <w:szCs w:val="28"/>
        </w:rPr>
      </w:pPr>
      <w:r w:rsidRPr="00C24771">
        <w:rPr>
          <w:sz w:val="28"/>
          <w:szCs w:val="28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составила в 2015 году – 58,5 % (2014 год – 54,5 %).</w:t>
      </w:r>
    </w:p>
    <w:p w:rsidR="00D801C5" w:rsidRPr="00C24771" w:rsidRDefault="00D801C5" w:rsidP="00D801C5">
      <w:pPr>
        <w:ind w:firstLine="708"/>
        <w:jc w:val="both"/>
        <w:rPr>
          <w:sz w:val="28"/>
          <w:szCs w:val="28"/>
        </w:rPr>
      </w:pPr>
      <w:r w:rsidRPr="00C24771">
        <w:rPr>
          <w:sz w:val="28"/>
          <w:szCs w:val="28"/>
        </w:rPr>
        <w:lastRenderedPageBreak/>
        <w:t>Увеличение показателя, несмотря на снижение поступления по НДФЛ (в связи со снижением норматива отчислений с 38,</w:t>
      </w:r>
      <w:r>
        <w:rPr>
          <w:sz w:val="28"/>
          <w:szCs w:val="28"/>
        </w:rPr>
        <w:t>0</w:t>
      </w:r>
      <w:r w:rsidRPr="00C24771">
        <w:rPr>
          <w:sz w:val="28"/>
          <w:szCs w:val="28"/>
        </w:rPr>
        <w:t xml:space="preserve">% в 2014 году до 34,0% в 2015 году),  обусловлено ростом </w:t>
      </w:r>
      <w:r>
        <w:rPr>
          <w:sz w:val="28"/>
          <w:szCs w:val="28"/>
        </w:rPr>
        <w:t xml:space="preserve">следующих </w:t>
      </w:r>
      <w:r w:rsidRPr="00C24771">
        <w:rPr>
          <w:sz w:val="28"/>
          <w:szCs w:val="28"/>
        </w:rPr>
        <w:t xml:space="preserve">поступлений: </w:t>
      </w:r>
    </w:p>
    <w:p w:rsidR="00D801C5" w:rsidRPr="00C24771" w:rsidRDefault="00D801C5" w:rsidP="00D801C5">
      <w:pPr>
        <w:ind w:firstLine="708"/>
        <w:jc w:val="both"/>
        <w:rPr>
          <w:sz w:val="28"/>
          <w:szCs w:val="28"/>
        </w:rPr>
      </w:pPr>
      <w:r w:rsidRPr="00C24771">
        <w:rPr>
          <w:sz w:val="28"/>
          <w:szCs w:val="28"/>
        </w:rPr>
        <w:t xml:space="preserve">- платы за негативное воздействие на окружающую среду (с 95,6 млн. рублей в 2014 году до 119,4 млн. рублей в 2015 году) в связи с применением особенностей исчисления данного платежа нефтегазодобывающими компаниями;                                                                                                   </w:t>
      </w:r>
    </w:p>
    <w:p w:rsidR="00D801C5" w:rsidRPr="00C24771" w:rsidRDefault="00D801C5" w:rsidP="00D801C5">
      <w:pPr>
        <w:ind w:firstLine="708"/>
        <w:jc w:val="both"/>
        <w:rPr>
          <w:sz w:val="28"/>
          <w:szCs w:val="28"/>
        </w:rPr>
      </w:pPr>
      <w:r w:rsidRPr="00C24771">
        <w:rPr>
          <w:sz w:val="28"/>
          <w:szCs w:val="28"/>
        </w:rPr>
        <w:t xml:space="preserve">- от продажи  имущества (с 22,6 млн. рублей до 39,1млн. рублей); </w:t>
      </w:r>
    </w:p>
    <w:p w:rsidR="00D801C5" w:rsidRPr="00C24771" w:rsidRDefault="00D801C5" w:rsidP="00D801C5">
      <w:pPr>
        <w:ind w:firstLine="708"/>
        <w:jc w:val="both"/>
        <w:rPr>
          <w:sz w:val="28"/>
          <w:szCs w:val="28"/>
        </w:rPr>
      </w:pPr>
      <w:r w:rsidRPr="00C24771">
        <w:rPr>
          <w:sz w:val="28"/>
          <w:szCs w:val="28"/>
        </w:rPr>
        <w:t xml:space="preserve">- арендной платы за земельные участки и  имущества (с 375,5 млн. рублей в 2014 году до 460,5 млн. рублей в 2015 году); </w:t>
      </w:r>
    </w:p>
    <w:p w:rsidR="00D801C5" w:rsidRPr="00C24771" w:rsidRDefault="00D801C5" w:rsidP="00D801C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24771">
        <w:rPr>
          <w:sz w:val="28"/>
          <w:szCs w:val="28"/>
        </w:rPr>
        <w:t>- налогов, в связи с применением упрощенной системы налогообложения (с 27,1млн. рублей до  37,9 млн. рублей).</w:t>
      </w:r>
    </w:p>
    <w:p w:rsidR="00D801C5" w:rsidRPr="00C24771" w:rsidRDefault="00D801C5" w:rsidP="00D801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района д</w:t>
      </w:r>
      <w:r w:rsidRPr="00C24771">
        <w:rPr>
          <w:sz w:val="28"/>
          <w:szCs w:val="28"/>
        </w:rPr>
        <w:t>ля активизации работы по привлечению и изысканию дополнительных резервов поступлений доходов  ежеквартально проводятся заседания комиссии по мобилизации дополнительных доходов в бюджет района; проводится работа по выявлению и регистрации обособленных подразделений предприятий, осуществляющих деятельность на территории района; работа с администраторами доходов по информированию об изменениях в области бюджетного законодательства, в части закрепленных за ними кодов доходов бюджетной классификации; заключаются соглашения с организациями о социально-экономическом партнерстве.</w:t>
      </w:r>
    </w:p>
    <w:p w:rsidR="00D801C5" w:rsidRPr="00C24771" w:rsidRDefault="00D801C5" w:rsidP="00D801C5">
      <w:pPr>
        <w:spacing w:line="259" w:lineRule="auto"/>
        <w:ind w:firstLine="708"/>
        <w:jc w:val="both"/>
      </w:pPr>
    </w:p>
    <w:p w:rsidR="00E128B3" w:rsidRDefault="00E128B3" w:rsidP="00262881">
      <w:pPr>
        <w:ind w:firstLine="708"/>
        <w:jc w:val="center"/>
        <w:rPr>
          <w:b/>
          <w:i/>
          <w:color w:val="000000"/>
          <w:sz w:val="28"/>
          <w:szCs w:val="28"/>
        </w:rPr>
      </w:pPr>
      <w:bookmarkStart w:id="5" w:name="_Toc432155652"/>
      <w:bookmarkStart w:id="6" w:name="_Toc432156256"/>
      <w:bookmarkStart w:id="7" w:name="_Toc432156443"/>
      <w:bookmarkStart w:id="8" w:name="_Toc417898050"/>
      <w:bookmarkStart w:id="9" w:name="_Toc418155041"/>
      <w:bookmarkStart w:id="10" w:name="_Toc449537860"/>
      <w:r w:rsidRPr="00E851E3">
        <w:rPr>
          <w:b/>
          <w:i/>
          <w:sz w:val="28"/>
          <w:szCs w:val="28"/>
        </w:rPr>
        <w:t>Показатель «</w:t>
      </w:r>
      <w:bookmarkStart w:id="11" w:name="_Toc449538071"/>
      <w:r w:rsidRPr="00E851E3">
        <w:rPr>
          <w:b/>
          <w:i/>
          <w:color w:val="000000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bookmarkEnd w:id="11"/>
      <w:r>
        <w:rPr>
          <w:b/>
          <w:i/>
          <w:color w:val="000000"/>
          <w:sz w:val="28"/>
          <w:szCs w:val="28"/>
        </w:rPr>
        <w:t>»</w:t>
      </w:r>
    </w:p>
    <w:p w:rsidR="0052454D" w:rsidRPr="00E128B3" w:rsidRDefault="0052454D" w:rsidP="0052454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2015 году проводилась диагностика, в состав которой входило визуальное обследование по параметрам, влияющим на транспортно-эксплутационные характеристики автомобильных дорог, по результатам диагностики </w:t>
      </w:r>
      <w:r w:rsidRPr="00E128B3">
        <w:rPr>
          <w:color w:val="000000"/>
          <w:sz w:val="28"/>
          <w:szCs w:val="28"/>
        </w:rPr>
        <w:t xml:space="preserve"> автомобильны</w:t>
      </w:r>
      <w:r>
        <w:rPr>
          <w:color w:val="000000"/>
          <w:sz w:val="28"/>
          <w:szCs w:val="28"/>
        </w:rPr>
        <w:t>е</w:t>
      </w:r>
      <w:r w:rsidRPr="00E128B3">
        <w:rPr>
          <w:color w:val="000000"/>
          <w:sz w:val="28"/>
          <w:szCs w:val="28"/>
        </w:rPr>
        <w:t xml:space="preserve"> дорог</w:t>
      </w:r>
      <w:r>
        <w:rPr>
          <w:color w:val="000000"/>
          <w:sz w:val="28"/>
          <w:szCs w:val="28"/>
        </w:rPr>
        <w:t>и</w:t>
      </w:r>
      <w:r w:rsidRPr="00E128B3">
        <w:rPr>
          <w:color w:val="000000"/>
          <w:sz w:val="28"/>
          <w:szCs w:val="28"/>
        </w:rPr>
        <w:t xml:space="preserve"> общего пользования местного значения, не отвечающи</w:t>
      </w:r>
      <w:r>
        <w:rPr>
          <w:color w:val="000000"/>
          <w:sz w:val="28"/>
          <w:szCs w:val="28"/>
        </w:rPr>
        <w:t>е</w:t>
      </w:r>
      <w:r w:rsidRPr="00E128B3">
        <w:rPr>
          <w:color w:val="000000"/>
          <w:sz w:val="28"/>
          <w:szCs w:val="28"/>
        </w:rPr>
        <w:t xml:space="preserve"> нормативным требованиям, в общей протяженности автомобильных дорог общего пользования местного значения</w:t>
      </w:r>
      <w:r>
        <w:rPr>
          <w:color w:val="000000"/>
          <w:sz w:val="28"/>
          <w:szCs w:val="28"/>
        </w:rPr>
        <w:t>, отсутствуют.</w:t>
      </w:r>
    </w:p>
    <w:p w:rsidR="0052454D" w:rsidRDefault="0052454D" w:rsidP="00E128B3">
      <w:pPr>
        <w:ind w:firstLine="708"/>
        <w:jc w:val="both"/>
        <w:rPr>
          <w:b/>
          <w:i/>
          <w:sz w:val="28"/>
          <w:szCs w:val="28"/>
        </w:rPr>
      </w:pPr>
      <w:bookmarkStart w:id="12" w:name="_Toc449538099"/>
    </w:p>
    <w:p w:rsidR="00262881" w:rsidRDefault="00E128B3" w:rsidP="00262881">
      <w:pPr>
        <w:ind w:firstLine="708"/>
        <w:jc w:val="center"/>
        <w:rPr>
          <w:b/>
          <w:i/>
          <w:color w:val="000000"/>
          <w:sz w:val="28"/>
          <w:szCs w:val="28"/>
        </w:rPr>
      </w:pPr>
      <w:r w:rsidRPr="00E851E3">
        <w:rPr>
          <w:b/>
          <w:i/>
          <w:sz w:val="28"/>
          <w:szCs w:val="28"/>
        </w:rPr>
        <w:t>Показатель</w:t>
      </w:r>
      <w:r w:rsidRPr="00E851E3">
        <w:rPr>
          <w:b/>
          <w:color w:val="000000"/>
          <w:sz w:val="20"/>
          <w:szCs w:val="20"/>
        </w:rPr>
        <w:t xml:space="preserve"> </w:t>
      </w:r>
      <w:r w:rsidRPr="00E851E3">
        <w:rPr>
          <w:b/>
          <w:i/>
          <w:color w:val="000000"/>
          <w:sz w:val="28"/>
          <w:szCs w:val="28"/>
        </w:rPr>
        <w:t>«Доля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  <w:bookmarkEnd w:id="12"/>
      <w:r w:rsidRPr="00E851E3">
        <w:rPr>
          <w:b/>
          <w:i/>
          <w:color w:val="000000"/>
          <w:sz w:val="28"/>
          <w:szCs w:val="28"/>
        </w:rPr>
        <w:t>»</w:t>
      </w:r>
      <w:bookmarkStart w:id="13" w:name="_Toc449538108"/>
    </w:p>
    <w:p w:rsidR="00EB1A12" w:rsidRDefault="00EB1A12" w:rsidP="00262881">
      <w:pPr>
        <w:ind w:firstLine="708"/>
        <w:jc w:val="both"/>
        <w:rPr>
          <w:color w:val="000000"/>
          <w:sz w:val="28"/>
          <w:szCs w:val="28"/>
        </w:rPr>
      </w:pPr>
      <w:r w:rsidRPr="00EB1A12">
        <w:rPr>
          <w:color w:val="000000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  <w:r>
        <w:rPr>
          <w:color w:val="000000"/>
          <w:sz w:val="28"/>
          <w:szCs w:val="28"/>
        </w:rPr>
        <w:t xml:space="preserve"> в 2015 году составила 7,3%. </w:t>
      </w:r>
    </w:p>
    <w:p w:rsidR="0052454D" w:rsidRDefault="00543193" w:rsidP="00EB1A12">
      <w:pPr>
        <w:pStyle w:val="1"/>
        <w:spacing w:before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1A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2015 году не имели регулярного автобусного и (или) железнодорожного сообщения с административным центром 11 населенных пунктов района (с.Покур, с.Былино, д.Вампугол, д.Колекъеган, д.Усть-Колекъеган, с.Корлики, с.Ларьяк, д.Большой Ларьяк, д.Пугъюг, д.Сосновый Бор, д.Чехломей)</w:t>
      </w:r>
      <w:r w:rsidR="00EB1A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B1A12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EB1A1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B1A12">
        <w:rPr>
          <w:rFonts w:ascii="Times New Roman" w:hAnsi="Times New Roman" w:cs="Times New Roman"/>
          <w:color w:val="000000"/>
          <w:sz w:val="28"/>
          <w:szCs w:val="28"/>
        </w:rPr>
        <w:t xml:space="preserve">-2018 годы </w:t>
      </w:r>
      <w:r w:rsidR="00354A7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54A7B" w:rsidRPr="00EB1A12">
        <w:rPr>
          <w:rFonts w:ascii="Times New Roman" w:hAnsi="Times New Roman" w:cs="Times New Roman"/>
          <w:color w:val="000000"/>
          <w:sz w:val="28"/>
          <w:szCs w:val="28"/>
        </w:rPr>
        <w:t xml:space="preserve"> связи с </w:t>
      </w:r>
      <w:r w:rsidR="00354A7B">
        <w:rPr>
          <w:rFonts w:ascii="Times New Roman" w:hAnsi="Times New Roman" w:cs="Times New Roman"/>
          <w:color w:val="000000"/>
          <w:sz w:val="28"/>
          <w:szCs w:val="28"/>
        </w:rPr>
        <w:t xml:space="preserve">расселением граждан </w:t>
      </w:r>
      <w:r w:rsidR="00354A7B" w:rsidRPr="00EB1A12">
        <w:rPr>
          <w:rFonts w:ascii="Times New Roman" w:hAnsi="Times New Roman" w:cs="Times New Roman"/>
          <w:color w:val="000000"/>
          <w:sz w:val="28"/>
          <w:szCs w:val="28"/>
        </w:rPr>
        <w:t>д. Пугъюг</w:t>
      </w:r>
      <w:r w:rsidR="00354A7B">
        <w:rPr>
          <w:rFonts w:ascii="Times New Roman" w:hAnsi="Times New Roman" w:cs="Times New Roman"/>
          <w:color w:val="000000"/>
          <w:sz w:val="28"/>
          <w:szCs w:val="28"/>
        </w:rPr>
        <w:t>, количество населенных пунктов составит – 10 единиц и уменьшится д</w:t>
      </w:r>
      <w:r w:rsidR="00354A7B" w:rsidRPr="00EB1A12">
        <w:rPr>
          <w:rFonts w:ascii="Times New Roman" w:hAnsi="Times New Roman" w:cs="Times New Roman"/>
          <w:color w:val="000000"/>
          <w:sz w:val="28"/>
          <w:szCs w:val="28"/>
        </w:rPr>
        <w:t>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  <w:r w:rsidRPr="00EB1A12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13"/>
    </w:p>
    <w:p w:rsidR="008869AA" w:rsidRDefault="008869AA" w:rsidP="008869AA">
      <w:pPr>
        <w:rPr>
          <w:lang w:eastAsia="en-US"/>
        </w:rPr>
      </w:pPr>
    </w:p>
    <w:p w:rsidR="008869AA" w:rsidRPr="00E851E3" w:rsidRDefault="008869AA" w:rsidP="00E76163">
      <w:pPr>
        <w:ind w:firstLine="708"/>
        <w:jc w:val="center"/>
        <w:rPr>
          <w:b/>
          <w:i/>
          <w:color w:val="000000"/>
          <w:sz w:val="28"/>
          <w:szCs w:val="28"/>
        </w:rPr>
      </w:pPr>
      <w:r w:rsidRPr="00E851E3">
        <w:rPr>
          <w:b/>
          <w:i/>
          <w:sz w:val="28"/>
          <w:szCs w:val="28"/>
        </w:rPr>
        <w:t>Показатель</w:t>
      </w:r>
      <w:r w:rsidRPr="00E851E3">
        <w:rPr>
          <w:b/>
          <w:color w:val="000000"/>
          <w:sz w:val="20"/>
          <w:szCs w:val="20"/>
        </w:rPr>
        <w:t xml:space="preserve"> </w:t>
      </w:r>
      <w:r w:rsidRPr="00E851E3">
        <w:rPr>
          <w:b/>
          <w:i/>
          <w:color w:val="000000"/>
          <w:sz w:val="28"/>
          <w:szCs w:val="28"/>
        </w:rPr>
        <w:t>«Среднемесячная номинальная начисленная заработная плата работников: муниципальных учреждений культуры и искусства»</w:t>
      </w:r>
    </w:p>
    <w:p w:rsidR="00561915" w:rsidRDefault="008869AA" w:rsidP="008869AA">
      <w:pPr>
        <w:ind w:firstLine="708"/>
        <w:jc w:val="both"/>
        <w:rPr>
          <w:color w:val="000000"/>
          <w:sz w:val="28"/>
          <w:szCs w:val="28"/>
        </w:rPr>
      </w:pPr>
      <w:r w:rsidRPr="00E851E3">
        <w:rPr>
          <w:color w:val="000000"/>
          <w:sz w:val="28"/>
          <w:szCs w:val="28"/>
        </w:rPr>
        <w:t>Среднемесячная номинальная начисленная заработная плата работников: муниципальных учреждений культуры и искус</w:t>
      </w:r>
      <w:r>
        <w:rPr>
          <w:color w:val="000000"/>
          <w:sz w:val="28"/>
          <w:szCs w:val="28"/>
        </w:rPr>
        <w:t>с</w:t>
      </w:r>
      <w:r w:rsidRPr="00E851E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ва в 2015 году составила   39</w:t>
      </w:r>
      <w:r w:rsidR="0056191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798</w:t>
      </w:r>
      <w:r w:rsidR="00561915">
        <w:rPr>
          <w:color w:val="000000"/>
          <w:sz w:val="28"/>
          <w:szCs w:val="28"/>
        </w:rPr>
        <w:t xml:space="preserve"> руб. </w:t>
      </w:r>
    </w:p>
    <w:p w:rsidR="0023093D" w:rsidRDefault="00561915" w:rsidP="00561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15">
        <w:rPr>
          <w:rFonts w:ascii="Times New Roman" w:hAnsi="Times New Roman" w:cs="Times New Roman"/>
          <w:sz w:val="28"/>
          <w:szCs w:val="28"/>
        </w:rPr>
        <w:t>Достижение показателя за 2015 год обеспечено за счет</w:t>
      </w:r>
      <w:r w:rsidR="0023093D">
        <w:rPr>
          <w:rFonts w:ascii="Times New Roman" w:hAnsi="Times New Roman" w:cs="Times New Roman"/>
          <w:sz w:val="28"/>
          <w:szCs w:val="28"/>
        </w:rPr>
        <w:t>:</w:t>
      </w:r>
    </w:p>
    <w:p w:rsidR="0023093D" w:rsidRDefault="00561915" w:rsidP="00561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15">
        <w:rPr>
          <w:rFonts w:ascii="Times New Roman" w:hAnsi="Times New Roman" w:cs="Times New Roman"/>
          <w:sz w:val="28"/>
          <w:szCs w:val="28"/>
        </w:rPr>
        <w:t xml:space="preserve"> </w:t>
      </w:r>
      <w:r w:rsidR="0023093D" w:rsidRPr="00561915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Pr="00561915">
        <w:rPr>
          <w:rFonts w:ascii="Times New Roman" w:hAnsi="Times New Roman" w:cs="Times New Roman"/>
          <w:sz w:val="28"/>
          <w:szCs w:val="28"/>
        </w:rPr>
        <w:t xml:space="preserve">объема средств от оказания платных услуг и иной приносящей доход деятельности, количества работников учреждения, прошедших повышение квалификации и профессиональную подготовку, числа участий муниципальных  учреждений культуры в проектах, конкурсах, реализации федеральных, региональных, муниципальных целевых и ведомственных программ; </w:t>
      </w:r>
    </w:p>
    <w:p w:rsidR="0023093D" w:rsidRDefault="00561915" w:rsidP="00561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15">
        <w:rPr>
          <w:rFonts w:ascii="Times New Roman" w:hAnsi="Times New Roman" w:cs="Times New Roman"/>
          <w:sz w:val="28"/>
          <w:szCs w:val="28"/>
        </w:rPr>
        <w:t>освоения и внедрения инновационных методов работы</w:t>
      </w:r>
      <w:r w:rsidR="00E761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1915" w:rsidRPr="00561915" w:rsidRDefault="00E76163" w:rsidP="00561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C46">
        <w:rPr>
          <w:rFonts w:ascii="Times New Roman" w:hAnsi="Times New Roman"/>
          <w:sz w:val="28"/>
          <w:szCs w:val="28"/>
        </w:rPr>
        <w:t>достижени</w:t>
      </w:r>
      <w:r>
        <w:rPr>
          <w:rFonts w:ascii="Times New Roman" w:hAnsi="Times New Roman"/>
          <w:sz w:val="28"/>
          <w:szCs w:val="28"/>
        </w:rPr>
        <w:t>я</w:t>
      </w:r>
      <w:r w:rsidRPr="003E7C46">
        <w:rPr>
          <w:rFonts w:ascii="Times New Roman" w:hAnsi="Times New Roman"/>
          <w:sz w:val="28"/>
          <w:szCs w:val="28"/>
        </w:rPr>
        <w:t xml:space="preserve"> целевых ориентиров повышения заработной платы отдельным категориям работников культуры</w:t>
      </w:r>
      <w:r w:rsidRPr="00561915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Указов Президента РФ от 5 мая 2012 года</w:t>
      </w:r>
      <w:r w:rsidR="00561915">
        <w:rPr>
          <w:rFonts w:ascii="Times New Roman" w:hAnsi="Times New Roman" w:cs="Times New Roman"/>
          <w:sz w:val="28"/>
          <w:szCs w:val="28"/>
        </w:rPr>
        <w:t>.</w:t>
      </w:r>
      <w:r w:rsidR="00561915" w:rsidRPr="00561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915" w:rsidRDefault="00561915" w:rsidP="008869AA">
      <w:pPr>
        <w:ind w:firstLine="708"/>
        <w:jc w:val="both"/>
        <w:rPr>
          <w:color w:val="000000"/>
          <w:sz w:val="28"/>
          <w:szCs w:val="28"/>
        </w:rPr>
      </w:pPr>
    </w:p>
    <w:p w:rsidR="008869AA" w:rsidRPr="00114976" w:rsidRDefault="00114976" w:rsidP="00114976">
      <w:pPr>
        <w:ind w:firstLine="708"/>
        <w:jc w:val="center"/>
        <w:rPr>
          <w:b/>
          <w:bCs/>
          <w:i/>
          <w:iCs/>
          <w:sz w:val="28"/>
          <w:szCs w:val="28"/>
        </w:rPr>
      </w:pPr>
      <w:r w:rsidRPr="00114976">
        <w:rPr>
          <w:b/>
          <w:i/>
          <w:sz w:val="28"/>
          <w:szCs w:val="28"/>
        </w:rPr>
        <w:t>Показатель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</w:t>
      </w:r>
    </w:p>
    <w:p w:rsidR="006049DD" w:rsidRPr="006049DD" w:rsidRDefault="009F0551" w:rsidP="008869AA">
      <w:pPr>
        <w:ind w:firstLine="567"/>
        <w:jc w:val="both"/>
        <w:rPr>
          <w:sz w:val="28"/>
          <w:szCs w:val="28"/>
        </w:rPr>
      </w:pPr>
      <w:r w:rsidRPr="009F0551">
        <w:rPr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sz w:val="28"/>
          <w:szCs w:val="28"/>
        </w:rPr>
        <w:t xml:space="preserve"> составляет 0% (2014 год -0%).  </w:t>
      </w:r>
      <w:r w:rsidR="002714CE">
        <w:rPr>
          <w:sz w:val="28"/>
          <w:szCs w:val="28"/>
        </w:rPr>
        <w:t>М</w:t>
      </w:r>
      <w:r w:rsidR="008869AA" w:rsidRPr="006049DD">
        <w:rPr>
          <w:sz w:val="28"/>
          <w:szCs w:val="28"/>
        </w:rPr>
        <w:t>униципальны</w:t>
      </w:r>
      <w:r w:rsidR="002714CE">
        <w:rPr>
          <w:sz w:val="28"/>
          <w:szCs w:val="28"/>
        </w:rPr>
        <w:t>е</w:t>
      </w:r>
      <w:r w:rsidR="008869AA" w:rsidRPr="006049DD">
        <w:rPr>
          <w:sz w:val="28"/>
          <w:szCs w:val="28"/>
        </w:rPr>
        <w:t xml:space="preserve"> учреждени</w:t>
      </w:r>
      <w:r w:rsidR="002714CE">
        <w:rPr>
          <w:sz w:val="28"/>
          <w:szCs w:val="28"/>
        </w:rPr>
        <w:t>я</w:t>
      </w:r>
      <w:r w:rsidR="00724CCB">
        <w:rPr>
          <w:sz w:val="28"/>
          <w:szCs w:val="28"/>
        </w:rPr>
        <w:t xml:space="preserve"> культуры</w:t>
      </w:r>
      <w:r w:rsidR="00724CCB" w:rsidRPr="00724CCB">
        <w:rPr>
          <w:sz w:val="28"/>
          <w:szCs w:val="28"/>
        </w:rPr>
        <w:t xml:space="preserve"> </w:t>
      </w:r>
      <w:r w:rsidR="00724CCB">
        <w:rPr>
          <w:sz w:val="28"/>
          <w:szCs w:val="28"/>
        </w:rPr>
        <w:t>в Нижневартовском районе,</w:t>
      </w:r>
      <w:r w:rsidR="008869AA" w:rsidRPr="006049DD">
        <w:rPr>
          <w:sz w:val="28"/>
          <w:szCs w:val="28"/>
        </w:rPr>
        <w:t xml:space="preserve">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2714CE">
        <w:rPr>
          <w:sz w:val="28"/>
          <w:szCs w:val="28"/>
        </w:rPr>
        <w:t>, отсутствуют.</w:t>
      </w:r>
    </w:p>
    <w:p w:rsidR="008869AA" w:rsidRDefault="008869AA" w:rsidP="008869AA">
      <w:pPr>
        <w:jc w:val="both"/>
      </w:pPr>
    </w:p>
    <w:bookmarkEnd w:id="5"/>
    <w:bookmarkEnd w:id="6"/>
    <w:bookmarkEnd w:id="7"/>
    <w:bookmarkEnd w:id="8"/>
    <w:bookmarkEnd w:id="9"/>
    <w:bookmarkEnd w:id="10"/>
    <w:p w:rsidR="00BA749D" w:rsidRPr="006317DC" w:rsidRDefault="00BA749D" w:rsidP="009454AB">
      <w:pPr>
        <w:ind w:firstLine="567"/>
        <w:jc w:val="both"/>
        <w:rPr>
          <w:b/>
          <w:i/>
          <w:sz w:val="28"/>
          <w:szCs w:val="28"/>
        </w:rPr>
      </w:pPr>
      <w:r w:rsidRPr="006317DC">
        <w:rPr>
          <w:b/>
          <w:i/>
          <w:sz w:val="28"/>
          <w:szCs w:val="28"/>
        </w:rPr>
        <w:t>Показатель «Удельная величина потребления энергетических ресурсов</w:t>
      </w:r>
    </w:p>
    <w:p w:rsidR="00BA749D" w:rsidRPr="006317DC" w:rsidRDefault="001E4765" w:rsidP="00BA749D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6317DC">
        <w:rPr>
          <w:b/>
          <w:i/>
          <w:sz w:val="28"/>
          <w:szCs w:val="28"/>
        </w:rPr>
        <w:t>в многоквартирных домах</w:t>
      </w:r>
      <w:r w:rsidR="00BA749D" w:rsidRPr="006317DC">
        <w:rPr>
          <w:b/>
          <w:i/>
          <w:sz w:val="28"/>
          <w:szCs w:val="28"/>
        </w:rPr>
        <w:t>»</w:t>
      </w:r>
    </w:p>
    <w:p w:rsidR="003A640A" w:rsidRPr="006317DC" w:rsidRDefault="003A640A" w:rsidP="003A640A">
      <w:pPr>
        <w:ind w:firstLine="709"/>
        <w:jc w:val="both"/>
        <w:rPr>
          <w:sz w:val="28"/>
          <w:szCs w:val="28"/>
        </w:rPr>
      </w:pPr>
      <w:r w:rsidRPr="006317DC">
        <w:rPr>
          <w:sz w:val="28"/>
          <w:szCs w:val="28"/>
        </w:rPr>
        <w:t>В 201</w:t>
      </w:r>
      <w:r w:rsidR="00477A6E">
        <w:rPr>
          <w:sz w:val="28"/>
          <w:szCs w:val="28"/>
        </w:rPr>
        <w:t>5</w:t>
      </w:r>
      <w:r w:rsidRPr="006317DC">
        <w:rPr>
          <w:sz w:val="28"/>
          <w:szCs w:val="28"/>
        </w:rPr>
        <w:t xml:space="preserve"> году удельная величина потребления энергетических ресурсов в многоквартирных домах на территории Нижневартовского района составила:</w:t>
      </w:r>
    </w:p>
    <w:p w:rsidR="003A640A" w:rsidRPr="006317DC" w:rsidRDefault="003A640A" w:rsidP="003A640A">
      <w:pPr>
        <w:ind w:firstLine="709"/>
        <w:jc w:val="both"/>
        <w:rPr>
          <w:sz w:val="28"/>
          <w:szCs w:val="28"/>
        </w:rPr>
      </w:pPr>
      <w:r w:rsidRPr="006317DC">
        <w:rPr>
          <w:sz w:val="28"/>
          <w:szCs w:val="28"/>
        </w:rPr>
        <w:t>электрическая энергия –</w:t>
      </w:r>
      <w:r w:rsidR="008D6BBE" w:rsidRPr="006317DC">
        <w:rPr>
          <w:sz w:val="28"/>
          <w:szCs w:val="28"/>
        </w:rPr>
        <w:t xml:space="preserve"> 742,</w:t>
      </w:r>
      <w:r w:rsidR="006049DD">
        <w:rPr>
          <w:sz w:val="28"/>
          <w:szCs w:val="28"/>
        </w:rPr>
        <w:t>22</w:t>
      </w:r>
      <w:r w:rsidR="008D6BBE" w:rsidRPr="006317DC">
        <w:rPr>
          <w:sz w:val="28"/>
          <w:szCs w:val="28"/>
        </w:rPr>
        <w:t xml:space="preserve"> </w:t>
      </w:r>
      <w:r w:rsidRPr="006317DC">
        <w:rPr>
          <w:sz w:val="28"/>
          <w:szCs w:val="28"/>
        </w:rPr>
        <w:t>киловатт в час на 1 проживающего (201</w:t>
      </w:r>
      <w:r w:rsidR="006049DD">
        <w:rPr>
          <w:sz w:val="28"/>
          <w:szCs w:val="28"/>
        </w:rPr>
        <w:t>4</w:t>
      </w:r>
      <w:r w:rsidRPr="006317DC">
        <w:rPr>
          <w:sz w:val="28"/>
          <w:szCs w:val="28"/>
        </w:rPr>
        <w:t xml:space="preserve"> год – </w:t>
      </w:r>
      <w:r w:rsidR="006049DD" w:rsidRPr="006317DC">
        <w:rPr>
          <w:sz w:val="28"/>
          <w:szCs w:val="28"/>
        </w:rPr>
        <w:t xml:space="preserve">742,78 </w:t>
      </w:r>
      <w:r w:rsidRPr="006317DC">
        <w:rPr>
          <w:sz w:val="28"/>
          <w:szCs w:val="28"/>
        </w:rPr>
        <w:t>киловатт в час на 1 проживающего);</w:t>
      </w:r>
    </w:p>
    <w:p w:rsidR="003A640A" w:rsidRPr="006317DC" w:rsidRDefault="003A640A" w:rsidP="003A640A">
      <w:pPr>
        <w:ind w:firstLine="709"/>
        <w:jc w:val="both"/>
        <w:rPr>
          <w:sz w:val="28"/>
          <w:szCs w:val="28"/>
        </w:rPr>
      </w:pPr>
      <w:r w:rsidRPr="006317DC">
        <w:rPr>
          <w:sz w:val="28"/>
          <w:szCs w:val="28"/>
        </w:rPr>
        <w:t>тепловая энергия – 0,1</w:t>
      </w:r>
      <w:r w:rsidR="008D6BBE" w:rsidRPr="006317DC">
        <w:rPr>
          <w:sz w:val="28"/>
          <w:szCs w:val="28"/>
        </w:rPr>
        <w:t>0</w:t>
      </w:r>
      <w:r w:rsidRPr="006317DC">
        <w:rPr>
          <w:sz w:val="28"/>
          <w:szCs w:val="28"/>
        </w:rPr>
        <w:t xml:space="preserve"> Гкал на 1кв. метр общей площади (201</w:t>
      </w:r>
      <w:r w:rsidR="006049DD">
        <w:rPr>
          <w:sz w:val="28"/>
          <w:szCs w:val="28"/>
        </w:rPr>
        <w:t>4</w:t>
      </w:r>
      <w:r w:rsidRPr="006317DC">
        <w:rPr>
          <w:sz w:val="28"/>
          <w:szCs w:val="28"/>
        </w:rPr>
        <w:t xml:space="preserve"> год - 0,1</w:t>
      </w:r>
      <w:r w:rsidR="006049DD">
        <w:rPr>
          <w:sz w:val="28"/>
          <w:szCs w:val="28"/>
        </w:rPr>
        <w:t>0</w:t>
      </w:r>
      <w:r w:rsidRPr="006317DC">
        <w:rPr>
          <w:sz w:val="28"/>
          <w:szCs w:val="28"/>
        </w:rPr>
        <w:t xml:space="preserve"> Гкал. на 1кв. метр общей площади);</w:t>
      </w:r>
    </w:p>
    <w:p w:rsidR="003A640A" w:rsidRPr="006317DC" w:rsidRDefault="003A640A" w:rsidP="003A640A">
      <w:pPr>
        <w:ind w:firstLine="709"/>
        <w:jc w:val="both"/>
        <w:rPr>
          <w:sz w:val="28"/>
          <w:szCs w:val="28"/>
        </w:rPr>
      </w:pPr>
      <w:r w:rsidRPr="006317DC">
        <w:rPr>
          <w:sz w:val="28"/>
          <w:szCs w:val="28"/>
        </w:rPr>
        <w:lastRenderedPageBreak/>
        <w:t>горячая вода – 6,</w:t>
      </w:r>
      <w:r w:rsidR="008D6BBE" w:rsidRPr="006317DC">
        <w:rPr>
          <w:sz w:val="28"/>
          <w:szCs w:val="28"/>
        </w:rPr>
        <w:t>2</w:t>
      </w:r>
      <w:r w:rsidR="006049DD">
        <w:rPr>
          <w:sz w:val="28"/>
          <w:szCs w:val="28"/>
        </w:rPr>
        <w:t>6</w:t>
      </w:r>
      <w:r w:rsidRPr="006317DC">
        <w:rPr>
          <w:sz w:val="28"/>
          <w:szCs w:val="28"/>
        </w:rPr>
        <w:t xml:space="preserve"> кубических метров на 1 проживающего (201</w:t>
      </w:r>
      <w:r w:rsidR="006049DD">
        <w:rPr>
          <w:sz w:val="28"/>
          <w:szCs w:val="28"/>
        </w:rPr>
        <w:t>4</w:t>
      </w:r>
      <w:r w:rsidRPr="006317DC">
        <w:rPr>
          <w:sz w:val="28"/>
          <w:szCs w:val="28"/>
        </w:rPr>
        <w:t xml:space="preserve"> год – </w:t>
      </w:r>
      <w:r w:rsidR="008D6BBE" w:rsidRPr="006317DC">
        <w:rPr>
          <w:sz w:val="28"/>
          <w:szCs w:val="28"/>
        </w:rPr>
        <w:t>6,</w:t>
      </w:r>
      <w:r w:rsidR="006049DD">
        <w:rPr>
          <w:sz w:val="28"/>
          <w:szCs w:val="28"/>
        </w:rPr>
        <w:t>27</w:t>
      </w:r>
      <w:r w:rsidR="008D6BBE" w:rsidRPr="006317DC">
        <w:rPr>
          <w:sz w:val="28"/>
          <w:szCs w:val="28"/>
        </w:rPr>
        <w:t xml:space="preserve"> </w:t>
      </w:r>
      <w:r w:rsidRPr="006317DC">
        <w:rPr>
          <w:sz w:val="28"/>
          <w:szCs w:val="28"/>
        </w:rPr>
        <w:t>кубических метров на 1 проживающего);</w:t>
      </w:r>
    </w:p>
    <w:p w:rsidR="003A640A" w:rsidRPr="006317DC" w:rsidRDefault="003A640A" w:rsidP="003A640A">
      <w:pPr>
        <w:ind w:firstLine="709"/>
        <w:jc w:val="both"/>
        <w:rPr>
          <w:sz w:val="28"/>
          <w:szCs w:val="28"/>
        </w:rPr>
      </w:pPr>
      <w:r w:rsidRPr="006317DC">
        <w:rPr>
          <w:sz w:val="28"/>
          <w:szCs w:val="28"/>
        </w:rPr>
        <w:t>холодная вода –</w:t>
      </w:r>
      <w:r w:rsidR="008D6BBE" w:rsidRPr="006317DC">
        <w:rPr>
          <w:sz w:val="28"/>
          <w:szCs w:val="28"/>
        </w:rPr>
        <w:t xml:space="preserve"> 12,8</w:t>
      </w:r>
      <w:r w:rsidR="006049DD">
        <w:rPr>
          <w:sz w:val="28"/>
          <w:szCs w:val="28"/>
        </w:rPr>
        <w:t>5</w:t>
      </w:r>
      <w:r w:rsidR="008D6BBE" w:rsidRPr="006317DC">
        <w:rPr>
          <w:sz w:val="28"/>
          <w:szCs w:val="28"/>
        </w:rPr>
        <w:t xml:space="preserve"> </w:t>
      </w:r>
      <w:r w:rsidRPr="006317DC">
        <w:rPr>
          <w:sz w:val="28"/>
          <w:szCs w:val="28"/>
        </w:rPr>
        <w:t>кубических метров на 1 проживающего (201</w:t>
      </w:r>
      <w:r w:rsidR="006049DD">
        <w:rPr>
          <w:sz w:val="28"/>
          <w:szCs w:val="28"/>
        </w:rPr>
        <w:t>4</w:t>
      </w:r>
      <w:r w:rsidRPr="006317DC">
        <w:rPr>
          <w:sz w:val="28"/>
          <w:szCs w:val="28"/>
        </w:rPr>
        <w:t xml:space="preserve"> год – </w:t>
      </w:r>
      <w:r w:rsidR="006049DD" w:rsidRPr="006317DC">
        <w:rPr>
          <w:sz w:val="28"/>
          <w:szCs w:val="28"/>
        </w:rPr>
        <w:t xml:space="preserve">12,88 </w:t>
      </w:r>
      <w:r w:rsidRPr="006317DC">
        <w:rPr>
          <w:sz w:val="28"/>
          <w:szCs w:val="28"/>
        </w:rPr>
        <w:t xml:space="preserve">кубических метров на 1 проживающего). </w:t>
      </w:r>
    </w:p>
    <w:p w:rsidR="00BA749D" w:rsidRPr="006317DC" w:rsidRDefault="003A640A" w:rsidP="008D6BBE">
      <w:pPr>
        <w:ind w:firstLine="709"/>
        <w:jc w:val="both"/>
        <w:rPr>
          <w:color w:val="000000"/>
          <w:sz w:val="28"/>
          <w:szCs w:val="28"/>
        </w:rPr>
      </w:pPr>
      <w:r w:rsidRPr="006317DC">
        <w:rPr>
          <w:sz w:val="28"/>
          <w:szCs w:val="28"/>
        </w:rPr>
        <w:t>Снижение  показателя удельной  величины потребления энергетических ресурсов  в многоквартирных домах связано с установкой общедомовых и ндивидуальных приборов учета потребления энергетических ресурсов и воды, проведением мероприятий по энергосбережению.</w:t>
      </w:r>
      <w:r w:rsidR="008D6BBE" w:rsidRPr="006317DC">
        <w:rPr>
          <w:sz w:val="28"/>
          <w:szCs w:val="28"/>
        </w:rPr>
        <w:t xml:space="preserve"> </w:t>
      </w:r>
      <w:bookmarkStart w:id="14" w:name="_Toc418156473"/>
      <w:r w:rsidR="008D6BBE" w:rsidRPr="006317DC">
        <w:rPr>
          <w:color w:val="000000"/>
          <w:sz w:val="28"/>
          <w:szCs w:val="28"/>
        </w:rPr>
        <w:t>Снос непригодного жилья и переселение людей в новое жилье, оснащенное приборами учета, также способствует  снижению показателей потребления энергетических ресурсов в многоквартирных домах.</w:t>
      </w:r>
      <w:bookmarkEnd w:id="14"/>
    </w:p>
    <w:p w:rsidR="008D6BBE" w:rsidRPr="006317DC" w:rsidRDefault="008D6BBE" w:rsidP="008D6BBE">
      <w:pPr>
        <w:ind w:firstLine="709"/>
        <w:jc w:val="both"/>
        <w:rPr>
          <w:sz w:val="28"/>
          <w:szCs w:val="28"/>
        </w:rPr>
      </w:pPr>
    </w:p>
    <w:p w:rsidR="00504571" w:rsidRPr="006317DC" w:rsidRDefault="00504571" w:rsidP="00504571">
      <w:pPr>
        <w:widowControl w:val="0"/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  <w:r w:rsidRPr="006317DC">
        <w:rPr>
          <w:b/>
          <w:i/>
          <w:sz w:val="28"/>
          <w:szCs w:val="28"/>
        </w:rPr>
        <w:t>Показатель «Удельная величина потребления энергетических ресурсов</w:t>
      </w:r>
    </w:p>
    <w:p w:rsidR="0097032F" w:rsidRPr="006317DC" w:rsidRDefault="00504571" w:rsidP="00504571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6317DC">
        <w:rPr>
          <w:b/>
          <w:i/>
          <w:sz w:val="28"/>
          <w:szCs w:val="28"/>
        </w:rPr>
        <w:t>муниципальными бюджетными учреждениями»</w:t>
      </w:r>
    </w:p>
    <w:p w:rsidR="001E4765" w:rsidRPr="006317DC" w:rsidRDefault="001E4765" w:rsidP="001E4765">
      <w:pPr>
        <w:ind w:firstLine="709"/>
        <w:jc w:val="both"/>
        <w:rPr>
          <w:sz w:val="28"/>
          <w:szCs w:val="28"/>
        </w:rPr>
      </w:pPr>
      <w:r w:rsidRPr="006317DC">
        <w:rPr>
          <w:sz w:val="28"/>
          <w:szCs w:val="28"/>
        </w:rPr>
        <w:t>В 201</w:t>
      </w:r>
      <w:r w:rsidR="00BD2BB7">
        <w:rPr>
          <w:sz w:val="28"/>
          <w:szCs w:val="28"/>
        </w:rPr>
        <w:t>5</w:t>
      </w:r>
      <w:r w:rsidRPr="006317DC">
        <w:rPr>
          <w:sz w:val="28"/>
          <w:szCs w:val="28"/>
        </w:rPr>
        <w:t xml:space="preserve"> году удельная величина потребления энергетических ресурсов муниципальными бюджетными учреждениями Нижневартовского района составила:</w:t>
      </w:r>
    </w:p>
    <w:p w:rsidR="001E4765" w:rsidRPr="006317DC" w:rsidRDefault="001E4765" w:rsidP="001E4765">
      <w:pPr>
        <w:ind w:firstLine="709"/>
        <w:jc w:val="both"/>
        <w:rPr>
          <w:sz w:val="28"/>
          <w:szCs w:val="28"/>
        </w:rPr>
      </w:pPr>
      <w:r w:rsidRPr="006317DC">
        <w:rPr>
          <w:sz w:val="28"/>
          <w:szCs w:val="28"/>
        </w:rPr>
        <w:t>электрическая энергия –</w:t>
      </w:r>
      <w:r w:rsidR="008D6BBE" w:rsidRPr="006317DC">
        <w:rPr>
          <w:sz w:val="28"/>
          <w:szCs w:val="28"/>
        </w:rPr>
        <w:t xml:space="preserve"> </w:t>
      </w:r>
      <w:r w:rsidR="006F7011">
        <w:rPr>
          <w:sz w:val="28"/>
          <w:szCs w:val="28"/>
        </w:rPr>
        <w:t>83,62</w:t>
      </w:r>
      <w:r w:rsidR="008D6BBE" w:rsidRPr="006317DC">
        <w:rPr>
          <w:sz w:val="28"/>
          <w:szCs w:val="28"/>
        </w:rPr>
        <w:t xml:space="preserve"> </w:t>
      </w:r>
      <w:r w:rsidRPr="006317DC">
        <w:rPr>
          <w:sz w:val="28"/>
          <w:szCs w:val="28"/>
        </w:rPr>
        <w:t>киловатт в час на 1 проживающего (201</w:t>
      </w:r>
      <w:r w:rsidR="006F7011">
        <w:rPr>
          <w:sz w:val="28"/>
          <w:szCs w:val="28"/>
        </w:rPr>
        <w:t>4</w:t>
      </w:r>
      <w:r w:rsidRPr="006317DC">
        <w:rPr>
          <w:sz w:val="28"/>
          <w:szCs w:val="28"/>
        </w:rPr>
        <w:t xml:space="preserve"> год - </w:t>
      </w:r>
      <w:r w:rsidR="006F7011" w:rsidRPr="006317DC">
        <w:rPr>
          <w:sz w:val="28"/>
          <w:szCs w:val="28"/>
        </w:rPr>
        <w:t xml:space="preserve">84,13 </w:t>
      </w:r>
      <w:r w:rsidRPr="006317DC">
        <w:rPr>
          <w:sz w:val="28"/>
          <w:szCs w:val="28"/>
        </w:rPr>
        <w:t>киловатт в час на 1 проживающего);</w:t>
      </w:r>
    </w:p>
    <w:p w:rsidR="001E4765" w:rsidRPr="006317DC" w:rsidRDefault="001E4765" w:rsidP="001E4765">
      <w:pPr>
        <w:ind w:firstLine="709"/>
        <w:jc w:val="both"/>
        <w:rPr>
          <w:sz w:val="28"/>
          <w:szCs w:val="28"/>
        </w:rPr>
      </w:pPr>
      <w:r w:rsidRPr="006317DC">
        <w:rPr>
          <w:sz w:val="28"/>
          <w:szCs w:val="28"/>
        </w:rPr>
        <w:t>тепловая энергия – 0,1</w:t>
      </w:r>
      <w:r w:rsidR="008D6BBE" w:rsidRPr="006317DC">
        <w:rPr>
          <w:sz w:val="28"/>
          <w:szCs w:val="28"/>
        </w:rPr>
        <w:t>3</w:t>
      </w:r>
      <w:r w:rsidRPr="006317DC">
        <w:rPr>
          <w:sz w:val="28"/>
          <w:szCs w:val="28"/>
        </w:rPr>
        <w:t xml:space="preserve"> Гкал на 1кв. метр общей площади (201</w:t>
      </w:r>
      <w:r w:rsidR="006F7011">
        <w:rPr>
          <w:sz w:val="28"/>
          <w:szCs w:val="28"/>
        </w:rPr>
        <w:t>4</w:t>
      </w:r>
      <w:r w:rsidRPr="006317DC">
        <w:rPr>
          <w:sz w:val="28"/>
          <w:szCs w:val="28"/>
        </w:rPr>
        <w:t xml:space="preserve"> год - 0,1</w:t>
      </w:r>
      <w:r w:rsidR="006F7011">
        <w:rPr>
          <w:sz w:val="28"/>
          <w:szCs w:val="28"/>
        </w:rPr>
        <w:t>3</w:t>
      </w:r>
      <w:r w:rsidRPr="006317DC">
        <w:rPr>
          <w:sz w:val="28"/>
          <w:szCs w:val="28"/>
        </w:rPr>
        <w:t xml:space="preserve"> Гкал. на 1кв. метр общей площади);</w:t>
      </w:r>
    </w:p>
    <w:p w:rsidR="001E4765" w:rsidRPr="006317DC" w:rsidRDefault="001E4765" w:rsidP="001E4765">
      <w:pPr>
        <w:ind w:firstLine="709"/>
        <w:jc w:val="both"/>
        <w:rPr>
          <w:sz w:val="28"/>
          <w:szCs w:val="28"/>
        </w:rPr>
      </w:pPr>
      <w:r w:rsidRPr="006317DC">
        <w:rPr>
          <w:sz w:val="28"/>
          <w:szCs w:val="28"/>
        </w:rPr>
        <w:t>горячая вода - 0,03 кубических метров на 1 проживающего (201</w:t>
      </w:r>
      <w:r w:rsidR="006F7011">
        <w:rPr>
          <w:sz w:val="28"/>
          <w:szCs w:val="28"/>
        </w:rPr>
        <w:t>4</w:t>
      </w:r>
      <w:r w:rsidRPr="006317DC">
        <w:rPr>
          <w:sz w:val="28"/>
          <w:szCs w:val="28"/>
        </w:rPr>
        <w:t xml:space="preserve"> год - 0,03 кубических метров на 1 проживающего);</w:t>
      </w:r>
    </w:p>
    <w:p w:rsidR="001E4765" w:rsidRPr="006317DC" w:rsidRDefault="001E4765" w:rsidP="001E4765">
      <w:pPr>
        <w:ind w:firstLine="709"/>
        <w:jc w:val="both"/>
        <w:rPr>
          <w:sz w:val="28"/>
          <w:szCs w:val="28"/>
        </w:rPr>
      </w:pPr>
      <w:r w:rsidRPr="006317DC">
        <w:rPr>
          <w:sz w:val="28"/>
          <w:szCs w:val="28"/>
        </w:rPr>
        <w:t>холодная вода –</w:t>
      </w:r>
      <w:r w:rsidR="008D6BBE" w:rsidRPr="006317DC">
        <w:rPr>
          <w:sz w:val="28"/>
          <w:szCs w:val="28"/>
        </w:rPr>
        <w:t xml:space="preserve"> 1,25 </w:t>
      </w:r>
      <w:r w:rsidRPr="006317DC">
        <w:rPr>
          <w:sz w:val="28"/>
          <w:szCs w:val="28"/>
        </w:rPr>
        <w:t>кубических метров на 1 проживающего (201</w:t>
      </w:r>
      <w:r w:rsidR="006F7011">
        <w:rPr>
          <w:sz w:val="28"/>
          <w:szCs w:val="28"/>
        </w:rPr>
        <w:t>4</w:t>
      </w:r>
      <w:r w:rsidRPr="006317DC">
        <w:rPr>
          <w:sz w:val="28"/>
          <w:szCs w:val="28"/>
        </w:rPr>
        <w:t xml:space="preserve"> год - </w:t>
      </w:r>
      <w:r w:rsidR="008D6BBE" w:rsidRPr="006317DC">
        <w:rPr>
          <w:sz w:val="28"/>
          <w:szCs w:val="28"/>
        </w:rPr>
        <w:t>1,</w:t>
      </w:r>
      <w:r w:rsidR="006F7011">
        <w:rPr>
          <w:sz w:val="28"/>
          <w:szCs w:val="28"/>
        </w:rPr>
        <w:t>25</w:t>
      </w:r>
      <w:r w:rsidR="008D6BBE" w:rsidRPr="006317DC">
        <w:rPr>
          <w:sz w:val="28"/>
          <w:szCs w:val="28"/>
        </w:rPr>
        <w:t xml:space="preserve"> </w:t>
      </w:r>
      <w:r w:rsidRPr="006317DC">
        <w:rPr>
          <w:sz w:val="28"/>
          <w:szCs w:val="28"/>
        </w:rPr>
        <w:t xml:space="preserve">кубических метров на 1 проживающего). </w:t>
      </w:r>
    </w:p>
    <w:p w:rsidR="001E4765" w:rsidRPr="006317DC" w:rsidRDefault="001E4765" w:rsidP="001E4765">
      <w:pPr>
        <w:ind w:firstLine="709"/>
        <w:jc w:val="both"/>
        <w:rPr>
          <w:sz w:val="28"/>
          <w:szCs w:val="28"/>
        </w:rPr>
      </w:pPr>
      <w:r w:rsidRPr="006317DC">
        <w:rPr>
          <w:sz w:val="28"/>
          <w:szCs w:val="28"/>
        </w:rPr>
        <w:t xml:space="preserve">Снижение  показателя удельной  величины потребления энергетических ресурсов  бюджетными учреждениями </w:t>
      </w:r>
      <w:r w:rsidR="00731EC9" w:rsidRPr="006317DC">
        <w:rPr>
          <w:sz w:val="28"/>
          <w:szCs w:val="28"/>
        </w:rPr>
        <w:t>обеспечено за счет</w:t>
      </w:r>
      <w:r w:rsidRPr="006317DC">
        <w:rPr>
          <w:sz w:val="28"/>
          <w:szCs w:val="28"/>
        </w:rPr>
        <w:t>:</w:t>
      </w:r>
    </w:p>
    <w:p w:rsidR="00731EC9" w:rsidRPr="006317DC" w:rsidRDefault="00731EC9" w:rsidP="00D44725">
      <w:pPr>
        <w:ind w:firstLine="709"/>
        <w:jc w:val="both"/>
        <w:rPr>
          <w:color w:val="000000"/>
          <w:sz w:val="28"/>
          <w:szCs w:val="28"/>
        </w:rPr>
      </w:pPr>
      <w:bookmarkStart w:id="15" w:name="_Toc418156612"/>
      <w:r w:rsidRPr="006317DC">
        <w:rPr>
          <w:color w:val="000000"/>
          <w:sz w:val="28"/>
          <w:szCs w:val="28"/>
        </w:rPr>
        <w:t>- осуществления работ по установке приборов учета энергетических ресурсов в</w:t>
      </w:r>
      <w:r w:rsidR="008D6BBE" w:rsidRPr="006317DC">
        <w:rPr>
          <w:color w:val="000000"/>
          <w:sz w:val="28"/>
          <w:szCs w:val="28"/>
        </w:rPr>
        <w:t xml:space="preserve"> рамках программ в 2012-2013 годах</w:t>
      </w:r>
      <w:r w:rsidRPr="006317DC">
        <w:rPr>
          <w:color w:val="000000"/>
          <w:sz w:val="28"/>
          <w:szCs w:val="28"/>
        </w:rPr>
        <w:t xml:space="preserve">, </w:t>
      </w:r>
    </w:p>
    <w:p w:rsidR="006317DC" w:rsidRPr="006317DC" w:rsidRDefault="00731EC9" w:rsidP="006317DC">
      <w:pPr>
        <w:ind w:firstLine="709"/>
        <w:jc w:val="both"/>
        <w:rPr>
          <w:sz w:val="28"/>
          <w:szCs w:val="28"/>
        </w:rPr>
      </w:pPr>
      <w:r w:rsidRPr="006317DC">
        <w:rPr>
          <w:sz w:val="28"/>
          <w:szCs w:val="28"/>
        </w:rPr>
        <w:t>-</w:t>
      </w:r>
      <w:r w:rsidR="006317DC" w:rsidRPr="006317DC">
        <w:rPr>
          <w:sz w:val="28"/>
          <w:szCs w:val="28"/>
        </w:rPr>
        <w:t xml:space="preserve"> проведения энергетических обследований, оформления энергетических паспортов,  разработки и реализации энергосберегающих мероприятий. </w:t>
      </w:r>
    </w:p>
    <w:p w:rsidR="001E4765" w:rsidRPr="00731EC9" w:rsidRDefault="00731EC9" w:rsidP="00D44725">
      <w:pPr>
        <w:ind w:firstLine="709"/>
        <w:jc w:val="both"/>
        <w:rPr>
          <w:sz w:val="28"/>
          <w:szCs w:val="28"/>
        </w:rPr>
      </w:pPr>
      <w:r w:rsidRPr="006317DC">
        <w:rPr>
          <w:color w:val="000000"/>
          <w:sz w:val="28"/>
          <w:szCs w:val="28"/>
        </w:rPr>
        <w:t xml:space="preserve">Также </w:t>
      </w:r>
      <w:r w:rsidR="008D6BBE" w:rsidRPr="006317DC">
        <w:rPr>
          <w:color w:val="000000"/>
          <w:sz w:val="28"/>
          <w:szCs w:val="28"/>
        </w:rPr>
        <w:t>передач</w:t>
      </w:r>
      <w:r w:rsidRPr="006317DC">
        <w:rPr>
          <w:color w:val="000000"/>
          <w:sz w:val="28"/>
          <w:szCs w:val="28"/>
        </w:rPr>
        <w:t>а</w:t>
      </w:r>
      <w:r w:rsidR="008D6BBE" w:rsidRPr="006317DC">
        <w:rPr>
          <w:color w:val="000000"/>
          <w:sz w:val="28"/>
          <w:szCs w:val="28"/>
        </w:rPr>
        <w:t xml:space="preserve"> полномочий с 2014 года органами местного самоуправления организаций здравоохранения в государственную собственность округа</w:t>
      </w:r>
      <w:r w:rsidRPr="006317DC">
        <w:rPr>
          <w:color w:val="000000"/>
          <w:sz w:val="28"/>
          <w:szCs w:val="28"/>
        </w:rPr>
        <w:t>,</w:t>
      </w:r>
      <w:r w:rsidR="008D6BBE" w:rsidRPr="006317DC">
        <w:rPr>
          <w:color w:val="000000"/>
          <w:sz w:val="28"/>
          <w:szCs w:val="28"/>
        </w:rPr>
        <w:t xml:space="preserve"> способствовали снижению   величины потребления энергетических ресурсов муниципальными бюджетными учреждениями.</w:t>
      </w:r>
      <w:bookmarkEnd w:id="15"/>
    </w:p>
    <w:p w:rsidR="001E4765" w:rsidRPr="00731EC9" w:rsidRDefault="001E4765" w:rsidP="00D44725">
      <w:pPr>
        <w:ind w:firstLine="709"/>
        <w:jc w:val="both"/>
        <w:rPr>
          <w:sz w:val="28"/>
          <w:szCs w:val="28"/>
        </w:rPr>
      </w:pPr>
    </w:p>
    <w:p w:rsidR="009454AB" w:rsidRDefault="009454AB" w:rsidP="00262881">
      <w:pPr>
        <w:ind w:firstLine="567"/>
        <w:jc w:val="center"/>
        <w:rPr>
          <w:b/>
          <w:i/>
          <w:color w:val="000000"/>
          <w:sz w:val="28"/>
          <w:szCs w:val="28"/>
        </w:rPr>
      </w:pPr>
      <w:r w:rsidRPr="009454AB">
        <w:rPr>
          <w:b/>
          <w:i/>
          <w:sz w:val="28"/>
          <w:szCs w:val="28"/>
        </w:rPr>
        <w:t xml:space="preserve">Показатель </w:t>
      </w:r>
      <w:bookmarkStart w:id="16" w:name="_Toc449538880"/>
      <w:r w:rsidRPr="009454AB">
        <w:rPr>
          <w:b/>
          <w:bCs/>
          <w:i/>
          <w:sz w:val="28"/>
          <w:szCs w:val="28"/>
        </w:rPr>
        <w:t>«</w:t>
      </w:r>
      <w:r w:rsidRPr="009454AB">
        <w:rPr>
          <w:b/>
          <w:i/>
          <w:color w:val="000000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bookmarkEnd w:id="16"/>
      <w:r w:rsidRPr="009454AB">
        <w:rPr>
          <w:b/>
          <w:i/>
          <w:color w:val="000000"/>
          <w:sz w:val="28"/>
          <w:szCs w:val="28"/>
        </w:rPr>
        <w:t>»</w:t>
      </w:r>
    </w:p>
    <w:p w:rsidR="00262881" w:rsidRDefault="00262881" w:rsidP="00262881">
      <w:pPr>
        <w:ind w:firstLine="567"/>
        <w:jc w:val="center"/>
        <w:rPr>
          <w:b/>
          <w:i/>
          <w:color w:val="000000"/>
          <w:sz w:val="28"/>
          <w:szCs w:val="28"/>
        </w:rPr>
      </w:pPr>
    </w:p>
    <w:p w:rsidR="00262881" w:rsidRPr="00262881" w:rsidRDefault="00262881" w:rsidP="00262881">
      <w:pPr>
        <w:ind w:firstLine="567"/>
        <w:jc w:val="both"/>
        <w:rPr>
          <w:color w:val="000000"/>
          <w:sz w:val="28"/>
          <w:szCs w:val="28"/>
        </w:rPr>
      </w:pPr>
      <w:r w:rsidRPr="00262881">
        <w:rPr>
          <w:color w:val="000000"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>
        <w:rPr>
          <w:color w:val="000000"/>
          <w:sz w:val="28"/>
          <w:szCs w:val="28"/>
        </w:rPr>
        <w:t xml:space="preserve"> составляет 100%.</w:t>
      </w:r>
    </w:p>
    <w:p w:rsidR="00262881" w:rsidRPr="00262881" w:rsidRDefault="00262881" w:rsidP="00262881">
      <w:pPr>
        <w:ind w:firstLine="567"/>
        <w:jc w:val="both"/>
        <w:rPr>
          <w:color w:val="000000"/>
          <w:sz w:val="28"/>
          <w:szCs w:val="28"/>
        </w:rPr>
      </w:pPr>
      <w:r w:rsidRPr="00262881">
        <w:rPr>
          <w:bCs/>
          <w:color w:val="000000"/>
          <w:sz w:val="28"/>
          <w:szCs w:val="28"/>
        </w:rPr>
        <w:lastRenderedPageBreak/>
        <w:t>Во всех многоквартирных домах на территории района, собственники помещений выбрали и реализуют один из способов управления многоквартирными домами</w:t>
      </w:r>
    </w:p>
    <w:p w:rsidR="00262881" w:rsidRPr="009454AB" w:rsidRDefault="00262881" w:rsidP="00262881">
      <w:pPr>
        <w:ind w:firstLine="567"/>
        <w:jc w:val="center"/>
        <w:rPr>
          <w:b/>
          <w:bCs/>
          <w:i/>
          <w:sz w:val="28"/>
          <w:szCs w:val="28"/>
        </w:rPr>
      </w:pPr>
    </w:p>
    <w:p w:rsidR="00262881" w:rsidRDefault="009454AB" w:rsidP="00262881">
      <w:pPr>
        <w:ind w:firstLine="567"/>
        <w:jc w:val="center"/>
        <w:rPr>
          <w:b/>
          <w:i/>
          <w:color w:val="000000"/>
          <w:sz w:val="28"/>
          <w:szCs w:val="28"/>
        </w:rPr>
      </w:pPr>
      <w:bookmarkStart w:id="17" w:name="_Toc449538998"/>
      <w:r w:rsidRPr="009454AB">
        <w:rPr>
          <w:b/>
          <w:i/>
          <w:sz w:val="28"/>
          <w:szCs w:val="28"/>
        </w:rPr>
        <w:t xml:space="preserve">Показатель </w:t>
      </w:r>
      <w:r w:rsidRPr="009454AB">
        <w:rPr>
          <w:b/>
          <w:i/>
          <w:color w:val="000000"/>
          <w:sz w:val="28"/>
          <w:szCs w:val="28"/>
        </w:rPr>
        <w:t>«Доля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</w:r>
      <w:bookmarkEnd w:id="17"/>
      <w:r w:rsidRPr="009454AB">
        <w:rPr>
          <w:b/>
          <w:i/>
          <w:color w:val="000000"/>
          <w:sz w:val="28"/>
          <w:szCs w:val="28"/>
        </w:rPr>
        <w:t>»</w:t>
      </w:r>
      <w:bookmarkStart w:id="18" w:name="_Toc449539007"/>
    </w:p>
    <w:p w:rsidR="00262881" w:rsidRDefault="00262881" w:rsidP="00262881">
      <w:pPr>
        <w:ind w:firstLine="567"/>
        <w:jc w:val="both"/>
        <w:rPr>
          <w:color w:val="000000"/>
          <w:sz w:val="28"/>
          <w:szCs w:val="28"/>
        </w:rPr>
      </w:pPr>
      <w:r w:rsidRPr="00262881">
        <w:rPr>
          <w:color w:val="000000"/>
          <w:sz w:val="28"/>
          <w:szCs w:val="28"/>
        </w:rPr>
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</w:t>
      </w:r>
      <w:r>
        <w:rPr>
          <w:color w:val="000000"/>
          <w:sz w:val="28"/>
          <w:szCs w:val="28"/>
        </w:rPr>
        <w:t xml:space="preserve">Нижневартовского района составила 85,7%. </w:t>
      </w:r>
    </w:p>
    <w:p w:rsidR="00262881" w:rsidRPr="00262881" w:rsidRDefault="00262881" w:rsidP="00262881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2881">
        <w:rPr>
          <w:rFonts w:ascii="Times New Roman" w:hAnsi="Times New Roman" w:cs="Times New Roman"/>
          <w:color w:val="000000"/>
          <w:sz w:val="28"/>
          <w:szCs w:val="28"/>
        </w:rPr>
        <w:t>На территории района осуществляют свою деятельность 7 организаций коммунального комплекса. Из них 6 организаций коммунального комплекса частной формы собственности, участие муниципального образования в уставном капитале которых  составляет не более 25%.</w:t>
      </w:r>
      <w:bookmarkEnd w:id="18"/>
    </w:p>
    <w:p w:rsidR="009454AB" w:rsidRDefault="009454AB" w:rsidP="009454AB">
      <w:pPr>
        <w:pStyle w:val="1"/>
        <w:spacing w:line="240" w:lineRule="auto"/>
        <w:ind w:left="567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C24771">
        <w:rPr>
          <w:rFonts w:ascii="Times New Roman" w:hAnsi="Times New Roman" w:cs="Times New Roman"/>
          <w:b/>
          <w:color w:val="auto"/>
          <w:sz w:val="28"/>
        </w:rPr>
        <w:t>Информация по дополнительным показателям</w:t>
      </w:r>
    </w:p>
    <w:p w:rsidR="009454AB" w:rsidRPr="00C31298" w:rsidRDefault="009454AB" w:rsidP="009454AB">
      <w:pPr>
        <w:rPr>
          <w:lang w:eastAsia="en-US"/>
        </w:rPr>
      </w:pPr>
    </w:p>
    <w:p w:rsidR="009454AB" w:rsidRPr="00C24771" w:rsidRDefault="009454AB" w:rsidP="009454AB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bookmarkStart w:id="19" w:name="_Toc417898121"/>
      <w:bookmarkStart w:id="20" w:name="_Toc418155112"/>
      <w:bookmarkStart w:id="21" w:name="_Toc449537928"/>
      <w:r w:rsidRPr="00C24771">
        <w:rPr>
          <w:b/>
          <w:i/>
          <w:sz w:val="28"/>
          <w:szCs w:val="28"/>
        </w:rPr>
        <w:t xml:space="preserve">Показатель «Охрана прав граждан и юридических лиц, количество </w:t>
      </w:r>
      <w:bookmarkEnd w:id="19"/>
      <w:bookmarkEnd w:id="20"/>
      <w:bookmarkEnd w:id="21"/>
      <w:r w:rsidRPr="00C24771">
        <w:rPr>
          <w:b/>
          <w:i/>
          <w:sz w:val="28"/>
          <w:szCs w:val="28"/>
        </w:rPr>
        <w:t>обращений в суды на действия (бездействие) органов местного самоуправления»</w:t>
      </w:r>
    </w:p>
    <w:p w:rsidR="009454AB" w:rsidRPr="00C24771" w:rsidRDefault="009454AB" w:rsidP="009454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4771">
        <w:rPr>
          <w:rFonts w:ascii="Times New Roman" w:hAnsi="Times New Roman" w:cs="Times New Roman"/>
          <w:sz w:val="28"/>
          <w:szCs w:val="28"/>
        </w:rPr>
        <w:t xml:space="preserve">В 2015 году было одно обращение физического лица с исковым заявлением в Нижневартовский районный  суд о признании незаконным постановлений главы Нижневартовского района о передаче в собственность земельных участков (2014 год - обращений не было). Решением Нижневартовского районного суда от 24.07.2015 в удовлетворении исковых требований отказано. Судебной коллегией по гражданским делам суда Ханты-Мансийского автономного округа –Югры решение Нижневартовского районного суда оставлено без изменения, апелляционная жалоба  - без удовлетворения. </w:t>
      </w:r>
    </w:p>
    <w:p w:rsidR="009454AB" w:rsidRDefault="009454AB" w:rsidP="009454AB">
      <w:pPr>
        <w:ind w:firstLine="567"/>
        <w:jc w:val="center"/>
        <w:rPr>
          <w:b/>
          <w:i/>
          <w:sz w:val="28"/>
          <w:szCs w:val="28"/>
        </w:rPr>
      </w:pPr>
    </w:p>
    <w:p w:rsidR="009454AB" w:rsidRPr="00C24771" w:rsidRDefault="009454AB" w:rsidP="009454AB">
      <w:pPr>
        <w:ind w:firstLine="567"/>
        <w:jc w:val="center"/>
        <w:rPr>
          <w:b/>
          <w:i/>
          <w:sz w:val="28"/>
        </w:rPr>
      </w:pPr>
      <w:r w:rsidRPr="00C24771">
        <w:rPr>
          <w:b/>
          <w:i/>
          <w:sz w:val="28"/>
          <w:szCs w:val="28"/>
        </w:rPr>
        <w:t xml:space="preserve">Показатель </w:t>
      </w:r>
      <w:r w:rsidRPr="00C24771">
        <w:rPr>
          <w:b/>
          <w:i/>
          <w:sz w:val="28"/>
        </w:rPr>
        <w:t xml:space="preserve">«Состояние жилищного фонда» </w:t>
      </w:r>
    </w:p>
    <w:p w:rsidR="009454AB" w:rsidRPr="00C24771" w:rsidRDefault="009454AB" w:rsidP="009454AB">
      <w:pPr>
        <w:ind w:firstLine="567"/>
        <w:jc w:val="both"/>
        <w:rPr>
          <w:sz w:val="28"/>
          <w:szCs w:val="28"/>
        </w:rPr>
      </w:pPr>
      <w:r w:rsidRPr="00C24771">
        <w:rPr>
          <w:b/>
          <w:sz w:val="28"/>
        </w:rPr>
        <w:lastRenderedPageBreak/>
        <w:br/>
      </w:r>
      <w:r w:rsidRPr="00C24771">
        <w:rPr>
          <w:sz w:val="28"/>
          <w:szCs w:val="28"/>
        </w:rPr>
        <w:t xml:space="preserve">         За 2015 год, площадь жилищного фонда Нижневартовского района увеличилась на 8 172,4 кв.м. и на 01.01.2016 составила 645 264,2 кв.м.</w:t>
      </w:r>
    </w:p>
    <w:p w:rsidR="009454AB" w:rsidRPr="00C24771" w:rsidRDefault="009454AB" w:rsidP="009454AB">
      <w:pPr>
        <w:ind w:firstLine="540"/>
        <w:jc w:val="both"/>
        <w:rPr>
          <w:sz w:val="28"/>
          <w:szCs w:val="28"/>
        </w:rPr>
      </w:pPr>
      <w:r w:rsidRPr="00C24771">
        <w:rPr>
          <w:sz w:val="28"/>
          <w:szCs w:val="28"/>
        </w:rPr>
        <w:t xml:space="preserve">Введено 12 222,4 кв.м жилья, из которых ИЖС –  1 807,1кв.м или 14,8% от площади введенного жилья. В 2015 году снесено 4 050 кв. м непригодных для проживания строений (26 домов), на 01.01.2016 г. площадь непригодного жилья составила 34 000 кв.м. </w:t>
      </w:r>
    </w:p>
    <w:p w:rsidR="009454AB" w:rsidRPr="00235504" w:rsidRDefault="009454AB" w:rsidP="009454AB">
      <w:pPr>
        <w:ind w:firstLine="540"/>
        <w:jc w:val="both"/>
        <w:rPr>
          <w:bCs/>
          <w:sz w:val="28"/>
          <w:szCs w:val="28"/>
        </w:rPr>
      </w:pPr>
      <w:r w:rsidRPr="00C24771">
        <w:rPr>
          <w:bCs/>
          <w:sz w:val="28"/>
          <w:szCs w:val="28"/>
        </w:rPr>
        <w:t>Ежегодно снижается площадь непригодного жилья за счет ввода жилья, путем строительства многоквартирных жилых домов на территории района инвесторами-застройщиками, жилые помещения в которых приобретаются администрацией района в рамках реализации государственной программы «Обеспечение доступным и комфортным жильем жителей Ханты-Мансийского автономного округа –  Югры в 2016 – 2020 годах», и предоставляются жителям района при переселении из жилья, признанного непригодным для проживания и подлежащего сносу.</w:t>
      </w:r>
      <w:r w:rsidRPr="00235504">
        <w:rPr>
          <w:bCs/>
          <w:sz w:val="28"/>
          <w:szCs w:val="28"/>
        </w:rPr>
        <w:t xml:space="preserve"> </w:t>
      </w:r>
    </w:p>
    <w:p w:rsidR="009454AB" w:rsidRPr="00235504" w:rsidRDefault="009454AB" w:rsidP="009454A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i/>
          <w:sz w:val="28"/>
          <w:szCs w:val="28"/>
        </w:rPr>
      </w:pPr>
    </w:p>
    <w:p w:rsidR="009454AB" w:rsidRDefault="009454AB" w:rsidP="009454A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i/>
          <w:sz w:val="28"/>
          <w:szCs w:val="28"/>
        </w:rPr>
      </w:pPr>
    </w:p>
    <w:p w:rsidR="009454AB" w:rsidRDefault="009454AB" w:rsidP="009454AB">
      <w:pPr>
        <w:ind w:firstLine="708"/>
        <w:jc w:val="both"/>
        <w:rPr>
          <w:b/>
          <w:i/>
          <w:color w:val="000000"/>
          <w:sz w:val="28"/>
          <w:szCs w:val="28"/>
        </w:rPr>
      </w:pPr>
    </w:p>
    <w:p w:rsidR="001E4765" w:rsidRPr="0078273E" w:rsidRDefault="001E4765" w:rsidP="00D44725">
      <w:pPr>
        <w:ind w:firstLine="709"/>
        <w:jc w:val="both"/>
        <w:rPr>
          <w:sz w:val="28"/>
          <w:szCs w:val="28"/>
        </w:rPr>
      </w:pPr>
    </w:p>
    <w:sectPr w:rsidR="001E4765" w:rsidRPr="0078273E" w:rsidSect="00262881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86" w:rsidRDefault="00557186">
      <w:r>
        <w:separator/>
      </w:r>
    </w:p>
  </w:endnote>
  <w:endnote w:type="continuationSeparator" w:id="1">
    <w:p w:rsidR="00557186" w:rsidRDefault="00557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86" w:rsidRDefault="00557186">
      <w:r>
        <w:separator/>
      </w:r>
    </w:p>
  </w:footnote>
  <w:footnote w:type="continuationSeparator" w:id="1">
    <w:p w:rsidR="00557186" w:rsidRDefault="00557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655A"/>
    <w:multiLevelType w:val="hybridMultilevel"/>
    <w:tmpl w:val="49F0D92E"/>
    <w:lvl w:ilvl="0" w:tplc="D19A9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860"/>
    <w:rsid w:val="00001F1D"/>
    <w:rsid w:val="00013405"/>
    <w:rsid w:val="000168DE"/>
    <w:rsid w:val="0004666A"/>
    <w:rsid w:val="000645F9"/>
    <w:rsid w:val="000739F8"/>
    <w:rsid w:val="000768EA"/>
    <w:rsid w:val="00083007"/>
    <w:rsid w:val="000F23E7"/>
    <w:rsid w:val="000F3505"/>
    <w:rsid w:val="000F4F04"/>
    <w:rsid w:val="00101CC3"/>
    <w:rsid w:val="0011352B"/>
    <w:rsid w:val="00114976"/>
    <w:rsid w:val="00121116"/>
    <w:rsid w:val="00123329"/>
    <w:rsid w:val="00134FDB"/>
    <w:rsid w:val="0015744D"/>
    <w:rsid w:val="00183F8B"/>
    <w:rsid w:val="001A7860"/>
    <w:rsid w:val="001B575D"/>
    <w:rsid w:val="001B7284"/>
    <w:rsid w:val="001B7F18"/>
    <w:rsid w:val="001C7CF2"/>
    <w:rsid w:val="001D2D13"/>
    <w:rsid w:val="001E4379"/>
    <w:rsid w:val="001E4765"/>
    <w:rsid w:val="001E705E"/>
    <w:rsid w:val="001F6249"/>
    <w:rsid w:val="002026B5"/>
    <w:rsid w:val="0022310C"/>
    <w:rsid w:val="0022711C"/>
    <w:rsid w:val="0023093D"/>
    <w:rsid w:val="002344E5"/>
    <w:rsid w:val="00240193"/>
    <w:rsid w:val="00246F2A"/>
    <w:rsid w:val="002512E5"/>
    <w:rsid w:val="002533C8"/>
    <w:rsid w:val="00255399"/>
    <w:rsid w:val="00262881"/>
    <w:rsid w:val="002714CE"/>
    <w:rsid w:val="00285A1D"/>
    <w:rsid w:val="002943B6"/>
    <w:rsid w:val="002A2F13"/>
    <w:rsid w:val="002E08A1"/>
    <w:rsid w:val="00302C5A"/>
    <w:rsid w:val="0031269F"/>
    <w:rsid w:val="00321CFE"/>
    <w:rsid w:val="00327D57"/>
    <w:rsid w:val="00327E6F"/>
    <w:rsid w:val="003350A7"/>
    <w:rsid w:val="00354A7B"/>
    <w:rsid w:val="003676FD"/>
    <w:rsid w:val="0037543A"/>
    <w:rsid w:val="003839B9"/>
    <w:rsid w:val="0038693B"/>
    <w:rsid w:val="003A640A"/>
    <w:rsid w:val="003D10BF"/>
    <w:rsid w:val="003E5CB0"/>
    <w:rsid w:val="00417E80"/>
    <w:rsid w:val="00466431"/>
    <w:rsid w:val="00477A6E"/>
    <w:rsid w:val="00485C77"/>
    <w:rsid w:val="004C401D"/>
    <w:rsid w:val="004C4F40"/>
    <w:rsid w:val="004C7DDA"/>
    <w:rsid w:val="004F0557"/>
    <w:rsid w:val="00504571"/>
    <w:rsid w:val="0052140A"/>
    <w:rsid w:val="00521D50"/>
    <w:rsid w:val="0052454D"/>
    <w:rsid w:val="00543193"/>
    <w:rsid w:val="00551100"/>
    <w:rsid w:val="00557186"/>
    <w:rsid w:val="00561915"/>
    <w:rsid w:val="00572E87"/>
    <w:rsid w:val="00585A48"/>
    <w:rsid w:val="005A57AD"/>
    <w:rsid w:val="005A72D3"/>
    <w:rsid w:val="005B1D9D"/>
    <w:rsid w:val="005B4F9F"/>
    <w:rsid w:val="005D423D"/>
    <w:rsid w:val="005F0409"/>
    <w:rsid w:val="005F32F4"/>
    <w:rsid w:val="006021BB"/>
    <w:rsid w:val="006049DD"/>
    <w:rsid w:val="00622E66"/>
    <w:rsid w:val="006233BA"/>
    <w:rsid w:val="006317DC"/>
    <w:rsid w:val="00672681"/>
    <w:rsid w:val="00691AD4"/>
    <w:rsid w:val="006B1882"/>
    <w:rsid w:val="006B6E09"/>
    <w:rsid w:val="006C5A02"/>
    <w:rsid w:val="006C7485"/>
    <w:rsid w:val="006D6950"/>
    <w:rsid w:val="006D7D25"/>
    <w:rsid w:val="006E3F37"/>
    <w:rsid w:val="006F7011"/>
    <w:rsid w:val="00707F16"/>
    <w:rsid w:val="007136A1"/>
    <w:rsid w:val="00724CCB"/>
    <w:rsid w:val="0073106E"/>
    <w:rsid w:val="00731EC9"/>
    <w:rsid w:val="007541D9"/>
    <w:rsid w:val="00755DEF"/>
    <w:rsid w:val="007668E3"/>
    <w:rsid w:val="0078273E"/>
    <w:rsid w:val="007A1EFD"/>
    <w:rsid w:val="007C211D"/>
    <w:rsid w:val="007D2FEC"/>
    <w:rsid w:val="007D617B"/>
    <w:rsid w:val="007F6061"/>
    <w:rsid w:val="00802EE4"/>
    <w:rsid w:val="0082479D"/>
    <w:rsid w:val="008652D0"/>
    <w:rsid w:val="008869AA"/>
    <w:rsid w:val="008915CD"/>
    <w:rsid w:val="0089794D"/>
    <w:rsid w:val="008A5A2F"/>
    <w:rsid w:val="008C1E0A"/>
    <w:rsid w:val="008D6BBE"/>
    <w:rsid w:val="008D6D74"/>
    <w:rsid w:val="008D77AB"/>
    <w:rsid w:val="009076F4"/>
    <w:rsid w:val="00912605"/>
    <w:rsid w:val="00931D84"/>
    <w:rsid w:val="00932FD6"/>
    <w:rsid w:val="009454AB"/>
    <w:rsid w:val="009553BC"/>
    <w:rsid w:val="00957830"/>
    <w:rsid w:val="0096799E"/>
    <w:rsid w:val="0097032F"/>
    <w:rsid w:val="0098754C"/>
    <w:rsid w:val="009D0062"/>
    <w:rsid w:val="009D6BBC"/>
    <w:rsid w:val="009E2072"/>
    <w:rsid w:val="009F0551"/>
    <w:rsid w:val="009F3513"/>
    <w:rsid w:val="009F4AF8"/>
    <w:rsid w:val="009F5C57"/>
    <w:rsid w:val="00A16DE8"/>
    <w:rsid w:val="00A20045"/>
    <w:rsid w:val="00A4258A"/>
    <w:rsid w:val="00A62102"/>
    <w:rsid w:val="00A6746E"/>
    <w:rsid w:val="00A67F7E"/>
    <w:rsid w:val="00A9639F"/>
    <w:rsid w:val="00AE0898"/>
    <w:rsid w:val="00AE1587"/>
    <w:rsid w:val="00AF5E0F"/>
    <w:rsid w:val="00B50F43"/>
    <w:rsid w:val="00B60494"/>
    <w:rsid w:val="00B65377"/>
    <w:rsid w:val="00B662AB"/>
    <w:rsid w:val="00B92333"/>
    <w:rsid w:val="00B96004"/>
    <w:rsid w:val="00BA749D"/>
    <w:rsid w:val="00BD2562"/>
    <w:rsid w:val="00BD2BB7"/>
    <w:rsid w:val="00BE0940"/>
    <w:rsid w:val="00C0185A"/>
    <w:rsid w:val="00C04860"/>
    <w:rsid w:val="00C0514D"/>
    <w:rsid w:val="00C0549F"/>
    <w:rsid w:val="00C070B3"/>
    <w:rsid w:val="00C12AF3"/>
    <w:rsid w:val="00C24D0D"/>
    <w:rsid w:val="00C35C82"/>
    <w:rsid w:val="00C42D7A"/>
    <w:rsid w:val="00C931FE"/>
    <w:rsid w:val="00CC417F"/>
    <w:rsid w:val="00CC772E"/>
    <w:rsid w:val="00CD1AFE"/>
    <w:rsid w:val="00D0126A"/>
    <w:rsid w:val="00D16312"/>
    <w:rsid w:val="00D16D12"/>
    <w:rsid w:val="00D30518"/>
    <w:rsid w:val="00D32DBD"/>
    <w:rsid w:val="00D44725"/>
    <w:rsid w:val="00D733E1"/>
    <w:rsid w:val="00D801C5"/>
    <w:rsid w:val="00D81442"/>
    <w:rsid w:val="00D95094"/>
    <w:rsid w:val="00DC68F4"/>
    <w:rsid w:val="00E128B3"/>
    <w:rsid w:val="00E20578"/>
    <w:rsid w:val="00E23D9E"/>
    <w:rsid w:val="00E270B0"/>
    <w:rsid w:val="00E33EB3"/>
    <w:rsid w:val="00E43BFD"/>
    <w:rsid w:val="00E6096B"/>
    <w:rsid w:val="00E6119F"/>
    <w:rsid w:val="00E64D29"/>
    <w:rsid w:val="00E7432B"/>
    <w:rsid w:val="00E76163"/>
    <w:rsid w:val="00E851E3"/>
    <w:rsid w:val="00E91C3A"/>
    <w:rsid w:val="00E9625D"/>
    <w:rsid w:val="00E97970"/>
    <w:rsid w:val="00EB1A12"/>
    <w:rsid w:val="00EC35D0"/>
    <w:rsid w:val="00ED2077"/>
    <w:rsid w:val="00EE57A9"/>
    <w:rsid w:val="00EE6722"/>
    <w:rsid w:val="00F05683"/>
    <w:rsid w:val="00F05BC3"/>
    <w:rsid w:val="00F25C64"/>
    <w:rsid w:val="00F41838"/>
    <w:rsid w:val="00F5186C"/>
    <w:rsid w:val="00F528AB"/>
    <w:rsid w:val="00F6142D"/>
    <w:rsid w:val="00F669D0"/>
    <w:rsid w:val="00F72323"/>
    <w:rsid w:val="00F93260"/>
    <w:rsid w:val="00FA38DB"/>
    <w:rsid w:val="00FB4DEF"/>
    <w:rsid w:val="00FB62A1"/>
    <w:rsid w:val="00FB71B3"/>
    <w:rsid w:val="00FC7E78"/>
    <w:rsid w:val="00FD7BB1"/>
    <w:rsid w:val="00FE2B7C"/>
    <w:rsid w:val="00FF4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1C5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1A7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1A786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786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Hyperlink"/>
    <w:basedOn w:val="a0"/>
    <w:rsid w:val="001A7860"/>
    <w:rPr>
      <w:color w:val="0000FF"/>
      <w:u w:val="single"/>
    </w:rPr>
  </w:style>
  <w:style w:type="table" w:styleId="a5">
    <w:name w:val="Table Grid"/>
    <w:basedOn w:val="a1"/>
    <w:uiPriority w:val="59"/>
    <w:rsid w:val="001A7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1A78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+14п"/>
    <w:basedOn w:val="a8"/>
    <w:uiPriority w:val="99"/>
    <w:rsid w:val="002943B6"/>
    <w:pPr>
      <w:spacing w:line="360" w:lineRule="auto"/>
      <w:ind w:firstLine="709"/>
      <w:jc w:val="both"/>
      <w:outlineLvl w:val="0"/>
    </w:pPr>
    <w:rPr>
      <w:bCs/>
      <w:kern w:val="36"/>
    </w:rPr>
  </w:style>
  <w:style w:type="character" w:styleId="a9">
    <w:name w:val="Strong"/>
    <w:basedOn w:val="a0"/>
    <w:qFormat/>
    <w:rsid w:val="002943B6"/>
    <w:rPr>
      <w:rFonts w:cs="Times New Roman"/>
      <w:b/>
      <w:bCs/>
    </w:rPr>
  </w:style>
  <w:style w:type="paragraph" w:styleId="a8">
    <w:name w:val="Body Text"/>
    <w:basedOn w:val="a"/>
    <w:link w:val="aa"/>
    <w:uiPriority w:val="99"/>
    <w:semiHidden/>
    <w:unhideWhenUsed/>
    <w:rsid w:val="002943B6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94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C5A02"/>
    <w:pPr>
      <w:spacing w:before="100" w:beforeAutospacing="1" w:after="100" w:afterAutospacing="1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D801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qFormat/>
    <w:rsid w:val="00D801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05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05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1A7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basedOn w:val="a0"/>
    <w:link w:val="ConsPlusTitle"/>
    <w:uiPriority w:val="99"/>
    <w:rsid w:val="001A786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786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Hyperlink"/>
    <w:basedOn w:val="a0"/>
    <w:rsid w:val="001A7860"/>
    <w:rPr>
      <w:color w:val="0000FF"/>
      <w:u w:val="single"/>
    </w:rPr>
  </w:style>
  <w:style w:type="table" w:styleId="a5">
    <w:name w:val="Table Grid"/>
    <w:basedOn w:val="a1"/>
    <w:uiPriority w:val="59"/>
    <w:rsid w:val="001A7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1A78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+14п"/>
    <w:basedOn w:val="a8"/>
    <w:uiPriority w:val="99"/>
    <w:rsid w:val="002943B6"/>
    <w:pPr>
      <w:spacing w:line="360" w:lineRule="auto"/>
      <w:ind w:firstLine="709"/>
      <w:jc w:val="both"/>
      <w:outlineLvl w:val="0"/>
    </w:pPr>
    <w:rPr>
      <w:bCs/>
      <w:kern w:val="36"/>
    </w:rPr>
  </w:style>
  <w:style w:type="character" w:styleId="a9">
    <w:name w:val="Strong"/>
    <w:basedOn w:val="a0"/>
    <w:qFormat/>
    <w:rsid w:val="002943B6"/>
    <w:rPr>
      <w:rFonts w:cs="Times New Roman"/>
      <w:b/>
      <w:bCs/>
    </w:rPr>
  </w:style>
  <w:style w:type="paragraph" w:styleId="a8">
    <w:name w:val="Body Text"/>
    <w:basedOn w:val="a"/>
    <w:link w:val="aa"/>
    <w:uiPriority w:val="99"/>
    <w:semiHidden/>
    <w:unhideWhenUsed/>
    <w:rsid w:val="002943B6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943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9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ZarbalievaEM</dc:creator>
  <cp:lastModifiedBy>AleksandrovaIY</cp:lastModifiedBy>
  <cp:revision>36</cp:revision>
  <cp:lastPrinted>2016-09-15T10:20:00Z</cp:lastPrinted>
  <dcterms:created xsi:type="dcterms:W3CDTF">2015-08-17T10:30:00Z</dcterms:created>
  <dcterms:modified xsi:type="dcterms:W3CDTF">2016-09-15T10:28:00Z</dcterms:modified>
</cp:coreProperties>
</file>